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C2D8E8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CC33A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BC437B" w:rsidRPr="00BC437B">
        <w:rPr>
          <w:sz w:val="32"/>
          <w:szCs w:val="32"/>
        </w:rPr>
        <w:t>05219</w:t>
      </w:r>
    </w:p>
    <w:p w14:paraId="1503BF16" w14:textId="061C8B5D" w:rsidR="00E90E49" w:rsidRPr="00CE0424" w:rsidRDefault="00D31158" w:rsidP="00357380">
      <w:pPr>
        <w:pStyle w:val="3GPPHeader"/>
      </w:pPr>
      <w:r w:rsidRPr="00D31158">
        <w:t>Xi’an, China, 8</w:t>
      </w:r>
      <w:r w:rsidRPr="002006C0">
        <w:rPr>
          <w:vertAlign w:val="superscript"/>
        </w:rPr>
        <w:t>th</w:t>
      </w:r>
      <w:r w:rsidRPr="00D31158">
        <w:t xml:space="preserve"> – 12</w:t>
      </w:r>
      <w:r w:rsidRPr="002006C0">
        <w:rPr>
          <w:vertAlign w:val="superscript"/>
        </w:rPr>
        <w:t>th</w:t>
      </w:r>
      <w:r w:rsidR="002006C0">
        <w:t xml:space="preserve"> </w:t>
      </w:r>
      <w:r w:rsidRPr="00D31158">
        <w:t>April 2019</w:t>
      </w:r>
    </w:p>
    <w:p w14:paraId="4BC66F81" w14:textId="36424114"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B02091">
        <w:rPr>
          <w:sz w:val="22"/>
          <w:szCs w:val="22"/>
          <w:lang w:val="en-US"/>
        </w:rPr>
        <w:t>7.2.</w:t>
      </w:r>
      <w:r w:rsidR="00CF191C" w:rsidRPr="00B02091">
        <w:rPr>
          <w:sz w:val="22"/>
          <w:szCs w:val="22"/>
          <w:lang w:val="en-US"/>
        </w:rPr>
        <w:t>12.2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70E9E241" w:rsidR="00E90E49" w:rsidRPr="00CE0424" w:rsidRDefault="003D3C45" w:rsidP="00311702">
      <w:pPr>
        <w:pStyle w:val="3GPPHeader"/>
        <w:rPr>
          <w:sz w:val="22"/>
          <w:szCs w:val="22"/>
        </w:rPr>
      </w:pPr>
      <w:r>
        <w:rPr>
          <w:sz w:val="22"/>
          <w:szCs w:val="22"/>
        </w:rPr>
        <w:t>Title:</w:t>
      </w:r>
      <w:r w:rsidR="00E90E49" w:rsidRPr="00CE0424">
        <w:rPr>
          <w:sz w:val="22"/>
          <w:szCs w:val="22"/>
        </w:rPr>
        <w:tab/>
      </w:r>
      <w:r w:rsidR="00336FB8">
        <w:rPr>
          <w:sz w:val="22"/>
          <w:szCs w:val="22"/>
        </w:rPr>
        <w:t xml:space="preserve">Make-Before-Break, </w:t>
      </w:r>
      <w:r w:rsidR="006940CC">
        <w:rPr>
          <w:sz w:val="22"/>
          <w:szCs w:val="22"/>
        </w:rPr>
        <w:t xml:space="preserve">DC-based HO and </w:t>
      </w:r>
      <w:r w:rsidR="00506C85">
        <w:rPr>
          <w:sz w:val="22"/>
          <w:szCs w:val="22"/>
        </w:rPr>
        <w:t xml:space="preserve">the relation to </w:t>
      </w:r>
      <w:r w:rsidR="006940CC">
        <w:rPr>
          <w:sz w:val="22"/>
          <w:szCs w:val="22"/>
        </w:rPr>
        <w:t>multi-TRP</w:t>
      </w:r>
      <w:r w:rsidR="00F728D4" w:rsidRPr="00F728D4">
        <w:rPr>
          <w:sz w:val="22"/>
          <w:szCs w:val="22"/>
        </w:rPr>
        <w:t xml:space="preserve"> </w:t>
      </w:r>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02ACDB02" w:rsidR="00E90E49" w:rsidRPr="00CE0424" w:rsidRDefault="00230D18" w:rsidP="00CE0424">
      <w:pPr>
        <w:pStyle w:val="Heading1"/>
      </w:pPr>
      <w:r>
        <w:t>1</w:t>
      </w:r>
      <w:r>
        <w:tab/>
      </w:r>
      <w:r w:rsidR="00E90E49" w:rsidRPr="00CE0424">
        <w:t>Introduction</w:t>
      </w:r>
    </w:p>
    <w:p w14:paraId="32A6C0D7" w14:textId="1BCA6C04" w:rsidR="00477768" w:rsidRDefault="005434E8" w:rsidP="00CE0424">
      <w:pPr>
        <w:pStyle w:val="BodyText"/>
      </w:pPr>
      <w:r>
        <w:t>In RAN1#96, the following conclusion was made:</w:t>
      </w:r>
    </w:p>
    <w:p w14:paraId="5B128692" w14:textId="05387096" w:rsidR="005434E8" w:rsidRDefault="005434E8" w:rsidP="00CE0424">
      <w:pPr>
        <w:pStyle w:val="BodyText"/>
      </w:pPr>
      <w:r>
        <w:rPr>
          <w:noProof/>
        </w:rPr>
        <mc:AlternateContent>
          <mc:Choice Requires="wps">
            <w:drawing>
              <wp:inline distT="0" distB="0" distL="0" distR="0" wp14:anchorId="6143DA98" wp14:editId="0C9DA8D5">
                <wp:extent cx="6120765" cy="1252622"/>
                <wp:effectExtent l="0" t="0" r="13335" b="26035"/>
                <wp:docPr id="1" name="Text Box 1"/>
                <wp:cNvGraphicFramePr/>
                <a:graphic xmlns:a="http://schemas.openxmlformats.org/drawingml/2006/main">
                  <a:graphicData uri="http://schemas.microsoft.com/office/word/2010/wordprocessingShape">
                    <wps:wsp>
                      <wps:cNvSpPr txBox="1"/>
                      <wps:spPr>
                        <a:xfrm>
                          <a:off x="0" y="0"/>
                          <a:ext cx="6120765" cy="1252622"/>
                        </a:xfrm>
                        <a:prstGeom prst="rect">
                          <a:avLst/>
                        </a:prstGeom>
                        <a:solidFill>
                          <a:schemeClr val="lt1"/>
                        </a:solidFill>
                        <a:ln w="6350">
                          <a:solidFill>
                            <a:prstClr val="black"/>
                          </a:solidFill>
                        </a:ln>
                      </wps:spPr>
                      <wps:txbx>
                        <w:txbxContent>
                          <w:p w14:paraId="2AC381EC" w14:textId="77777777" w:rsidR="009B560B" w:rsidRPr="00B65FCB" w:rsidRDefault="009B560B" w:rsidP="005434E8">
                            <w:pPr>
                              <w:rPr>
                                <w:b/>
                                <w:lang w:eastAsia="x-none"/>
                              </w:rPr>
                            </w:pPr>
                            <w:r w:rsidRPr="00B65FCB">
                              <w:rPr>
                                <w:b/>
                                <w:u w:val="single"/>
                                <w:lang w:eastAsia="x-none"/>
                              </w:rPr>
                              <w:t>Conclusion</w:t>
                            </w:r>
                            <w:r w:rsidRPr="00B65FCB">
                              <w:rPr>
                                <w:b/>
                                <w:lang w:eastAsia="x-none"/>
                              </w:rPr>
                              <w:t>:</w:t>
                            </w:r>
                          </w:p>
                          <w:p w14:paraId="295C16F9" w14:textId="77777777" w:rsidR="009B560B" w:rsidRPr="00B65FCB" w:rsidRDefault="009B560B" w:rsidP="005434E8">
                            <w:r w:rsidRPr="00B65FCB">
                              <w:t>The following physical layer aspects for mobility enhancements have been identified in RAN1#96 and are to be further studied (but not limited to):</w:t>
                            </w:r>
                          </w:p>
                          <w:p w14:paraId="4CEA18EF"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RACH-less HO</w:t>
                            </w:r>
                          </w:p>
                          <w:p w14:paraId="4BCB77C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TA for target cell (if applicable)</w:t>
                            </w:r>
                          </w:p>
                          <w:p w14:paraId="57BF80F5"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Power control for PUSCH for the target cell</w:t>
                            </w:r>
                          </w:p>
                          <w:p w14:paraId="68C32B84"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 xml:space="preserve">UL grants configuration </w:t>
                            </w:r>
                          </w:p>
                          <w:p w14:paraId="2269521A"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Tx/Rx beam related aspects</w:t>
                            </w:r>
                          </w:p>
                          <w:p w14:paraId="3D7F7F8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PUSCH transmission aspects (e.g. repetition, etc.)</w:t>
                            </w:r>
                          </w:p>
                          <w:p w14:paraId="5F4CD801"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dual connectivity (DC) based HO</w:t>
                            </w:r>
                          </w:p>
                          <w:p w14:paraId="22077668"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Feasibility/applicability (with respect to various Tx/Rx RF capability and carrier frequencies of source/target cell)</w:t>
                            </w:r>
                          </w:p>
                          <w:p w14:paraId="135637A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PDCCH monitoring for source and target cells.</w:t>
                            </w:r>
                          </w:p>
                          <w:p w14:paraId="6DA26453"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Procedures related to DL/UL operation</w:t>
                            </w:r>
                          </w:p>
                          <w:p w14:paraId="09EFAFC1"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 xml:space="preserve">Power control for PUSCH/PUCCH/SRS </w:t>
                            </w:r>
                          </w:p>
                          <w:p w14:paraId="4B362C4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 xml:space="preserve">Tx/Rx beam related aspects </w:t>
                            </w:r>
                          </w:p>
                          <w:p w14:paraId="784E2763"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Note: this may interact with multi-TRP discussion in Rel-16 eMIMO</w:t>
                            </w:r>
                          </w:p>
                          <w:p w14:paraId="694A019D"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Make-before-break (MBB) related to 0ms HO interruption latency (if supported)</w:t>
                            </w:r>
                          </w:p>
                          <w:p w14:paraId="572CDF97" w14:textId="77777777" w:rsidR="009B560B" w:rsidRPr="005434E8" w:rsidRDefault="009B560B" w:rsidP="005434E8">
                            <w:pPr>
                              <w:numPr>
                                <w:ilvl w:val="1"/>
                                <w:numId w:val="23"/>
                              </w:numPr>
                              <w:overflowPunct/>
                              <w:autoSpaceDE/>
                              <w:autoSpaceDN/>
                              <w:adjustRightInd/>
                              <w:spacing w:after="0"/>
                              <w:textAlignment w:val="auto"/>
                              <w:rPr>
                                <w:bCs/>
                                <w:lang w:eastAsia="zh-CN"/>
                              </w:rPr>
                            </w:pPr>
                            <w:r w:rsidRPr="005434E8">
                              <w:rPr>
                                <w:bCs/>
                                <w:lang w:eastAsia="zh-CN"/>
                              </w:rPr>
                              <w:t xml:space="preserve">If supported, </w:t>
                            </w:r>
                            <w:proofErr w:type="gramStart"/>
                            <w:r w:rsidRPr="005434E8">
                              <w:rPr>
                                <w:bCs/>
                                <w:lang w:eastAsia="zh-CN"/>
                              </w:rPr>
                              <w:t>whether or not</w:t>
                            </w:r>
                            <w:proofErr w:type="gramEnd"/>
                            <w:r w:rsidRPr="005434E8">
                              <w:rPr>
                                <w:bCs/>
                                <w:lang w:eastAsia="zh-CN"/>
                              </w:rPr>
                              <w:t xml:space="preserve"> PHY impacts are similar/the same to those under dual connectivity (DC) based HO</w:t>
                            </w:r>
                          </w:p>
                          <w:p w14:paraId="6F8A91D9"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solutions/enhancements that are not explicitly mentioned in the WID</w:t>
                            </w:r>
                          </w:p>
                          <w:p w14:paraId="320A248C"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Measurement procedure to provide low latency reports (e.g. L1 based measurements)</w:t>
                            </w:r>
                          </w:p>
                          <w:p w14:paraId="4A28EC4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Methods of conveying QCL information for target cell (e.g. MAC CE based indication of QCL information for target cell)</w:t>
                            </w:r>
                          </w:p>
                          <w:p w14:paraId="1E538595" w14:textId="7E9D7CC1"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Link recovery on non-serving cells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143DA98" id="_x0000_t202" coordsize="21600,21600" o:spt="202" path="m,l,21600r21600,l21600,xe">
                <v:stroke joinstyle="miter"/>
                <v:path gradientshapeok="t" o:connecttype="rect"/>
              </v:shapetype>
              <v:shape id="Text Box 1" o:spid="_x0000_s1026" type="#_x0000_t202" style="width:481.95pt;height: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" fillcolor="white [3201]" strokeweight=".5pt">
                <v:textbox style="mso-fit-shape-to-text:t">
                  <w:txbxContent>
                    <w:p w14:paraId="2AC381EC" w14:textId="77777777" w:rsidR="009B560B" w:rsidRPr="00B65FCB" w:rsidRDefault="009B560B" w:rsidP="005434E8">
                      <w:pPr>
                        <w:rPr>
                          <w:b/>
                          <w:lang w:eastAsia="x-none"/>
                        </w:rPr>
                      </w:pPr>
                      <w:r w:rsidRPr="00B65FCB">
                        <w:rPr>
                          <w:b/>
                          <w:u w:val="single"/>
                          <w:lang w:eastAsia="x-none"/>
                        </w:rPr>
                        <w:t>Conclusion</w:t>
                      </w:r>
                      <w:r w:rsidRPr="00B65FCB">
                        <w:rPr>
                          <w:b/>
                          <w:lang w:eastAsia="x-none"/>
                        </w:rPr>
                        <w:t>:</w:t>
                      </w:r>
                    </w:p>
                    <w:p w14:paraId="295C16F9" w14:textId="77777777" w:rsidR="009B560B" w:rsidRPr="00B65FCB" w:rsidRDefault="009B560B" w:rsidP="005434E8">
                      <w:r w:rsidRPr="00B65FCB">
                        <w:t>The following physical layer aspects for mobility enhancements have been identified in RAN1#96 and are to be further studied (but not limited to):</w:t>
                      </w:r>
                    </w:p>
                    <w:p w14:paraId="4CEA18EF"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RACH-less HO</w:t>
                      </w:r>
                    </w:p>
                    <w:p w14:paraId="4BCB77C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TA for target cell (if applicable)</w:t>
                      </w:r>
                    </w:p>
                    <w:p w14:paraId="57BF80F5"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Power control for PUSCH for the target cell</w:t>
                      </w:r>
                    </w:p>
                    <w:p w14:paraId="68C32B84"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 xml:space="preserve">UL grants configuration </w:t>
                      </w:r>
                    </w:p>
                    <w:p w14:paraId="2269521A"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Tx/Rx beam related aspects</w:t>
                      </w:r>
                    </w:p>
                    <w:p w14:paraId="3D7F7F8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PUSCH transmission aspects (e.g. repetition, etc.)</w:t>
                      </w:r>
                    </w:p>
                    <w:p w14:paraId="5F4CD801"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dual connectivity (DC) based HO</w:t>
                      </w:r>
                    </w:p>
                    <w:p w14:paraId="22077668"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Feasibility/applicability (with respect to various Tx/Rx RF capability and carrier frequencies of source/target cell)</w:t>
                      </w:r>
                    </w:p>
                    <w:p w14:paraId="135637A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PDCCH monitoring for source and target cells.</w:t>
                      </w:r>
                    </w:p>
                    <w:p w14:paraId="6DA26453"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Procedures related to DL/UL operation</w:t>
                      </w:r>
                    </w:p>
                    <w:p w14:paraId="09EFAFC1"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 xml:space="preserve">Power control for PUSCH/PUCCH/SRS </w:t>
                      </w:r>
                    </w:p>
                    <w:p w14:paraId="4B362C4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 xml:space="preserve">Tx/Rx beam related aspects </w:t>
                      </w:r>
                    </w:p>
                    <w:p w14:paraId="784E2763"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Note: this may interact with multi-TRP discussion in Rel-16 eMIMO</w:t>
                      </w:r>
                    </w:p>
                    <w:p w14:paraId="694A019D"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Make-before-break (MBB) related to 0ms HO interruption latency (if supported)</w:t>
                      </w:r>
                    </w:p>
                    <w:p w14:paraId="572CDF97" w14:textId="77777777" w:rsidR="009B560B" w:rsidRPr="005434E8" w:rsidRDefault="009B560B" w:rsidP="005434E8">
                      <w:pPr>
                        <w:numPr>
                          <w:ilvl w:val="1"/>
                          <w:numId w:val="23"/>
                        </w:numPr>
                        <w:overflowPunct/>
                        <w:autoSpaceDE/>
                        <w:autoSpaceDN/>
                        <w:adjustRightInd/>
                        <w:spacing w:after="0"/>
                        <w:textAlignment w:val="auto"/>
                        <w:rPr>
                          <w:bCs/>
                          <w:lang w:eastAsia="zh-CN"/>
                        </w:rPr>
                      </w:pPr>
                      <w:r w:rsidRPr="005434E8">
                        <w:rPr>
                          <w:bCs/>
                          <w:lang w:eastAsia="zh-CN"/>
                        </w:rPr>
                        <w:t xml:space="preserve">If supported, </w:t>
                      </w:r>
                      <w:proofErr w:type="gramStart"/>
                      <w:r w:rsidRPr="005434E8">
                        <w:rPr>
                          <w:bCs/>
                          <w:lang w:eastAsia="zh-CN"/>
                        </w:rPr>
                        <w:t>whether or not</w:t>
                      </w:r>
                      <w:proofErr w:type="gramEnd"/>
                      <w:r w:rsidRPr="005434E8">
                        <w:rPr>
                          <w:bCs/>
                          <w:lang w:eastAsia="zh-CN"/>
                        </w:rPr>
                        <w:t xml:space="preserve"> PHY impacts are similar/the same to those under dual connectivity (DC) based HO</w:t>
                      </w:r>
                    </w:p>
                    <w:p w14:paraId="6F8A91D9" w14:textId="77777777" w:rsidR="009B560B" w:rsidRPr="005434E8" w:rsidRDefault="009B560B" w:rsidP="005434E8">
                      <w:pPr>
                        <w:pStyle w:val="ListParagraph"/>
                        <w:numPr>
                          <w:ilvl w:val="0"/>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Potential physical layer aspects of solutions/enhancements that are not explicitly mentioned in the WID</w:t>
                      </w:r>
                    </w:p>
                    <w:p w14:paraId="320A248C"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Measurement procedure to provide low latency reports (e.g. L1 based measurements)</w:t>
                      </w:r>
                    </w:p>
                    <w:p w14:paraId="4A28EC4B" w14:textId="77777777"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Methods of conveying QCL information for target cell (e.g. MAC CE based indication of QCL information for target cell)</w:t>
                      </w:r>
                    </w:p>
                    <w:p w14:paraId="1E538595" w14:textId="7E9D7CC1" w:rsidR="009B560B" w:rsidRPr="005434E8" w:rsidRDefault="009B560B" w:rsidP="005434E8">
                      <w:pPr>
                        <w:pStyle w:val="ListParagraph"/>
                        <w:numPr>
                          <w:ilvl w:val="1"/>
                          <w:numId w:val="23"/>
                        </w:numPr>
                        <w:overflowPunct/>
                        <w:autoSpaceDE/>
                        <w:autoSpaceDN/>
                        <w:adjustRightInd/>
                        <w:textAlignment w:val="auto"/>
                        <w:rPr>
                          <w:rFonts w:ascii="Times New Roman" w:hAnsi="Times New Roman"/>
                          <w:bCs/>
                          <w:sz w:val="20"/>
                          <w:szCs w:val="20"/>
                          <w:lang w:eastAsia="zh-CN"/>
                        </w:rPr>
                      </w:pPr>
                      <w:r w:rsidRPr="005434E8">
                        <w:rPr>
                          <w:rFonts w:ascii="Times New Roman" w:hAnsi="Times New Roman"/>
                          <w:bCs/>
                          <w:sz w:val="20"/>
                          <w:szCs w:val="20"/>
                          <w:lang w:eastAsia="zh-CN"/>
                        </w:rPr>
                        <w:t>Link recovery on non-serving cells</w:t>
                      </w:r>
                    </w:p>
                  </w:txbxContent>
                </v:textbox>
                <w10:anchorlock/>
              </v:shape>
            </w:pict>
          </mc:Fallback>
        </mc:AlternateContent>
      </w:r>
    </w:p>
    <w:p w14:paraId="68E49D07" w14:textId="5C85E58F" w:rsidR="00305B95" w:rsidRDefault="005434E8" w:rsidP="00CE0424">
      <w:pPr>
        <w:pStyle w:val="BodyText"/>
      </w:pPr>
      <w:r>
        <w:t xml:space="preserve">In this paper, we focus on the physical layer aspects of </w:t>
      </w:r>
      <w:r w:rsidR="00305B95">
        <w:t xml:space="preserve">HO enhancements that rely on simultaneous reception/transmission to and from multiple cells. This includes </w:t>
      </w:r>
      <w:r>
        <w:t>dual connectivity-based (DC-based) handover</w:t>
      </w:r>
      <w:r w:rsidR="00305B95">
        <w:t xml:space="preserve">, but also </w:t>
      </w:r>
      <w:r w:rsidR="005B1279">
        <w:t>Make-Before-Break (</w:t>
      </w:r>
      <w:r w:rsidR="00540402">
        <w:t>MBB</w:t>
      </w:r>
      <w:r w:rsidR="005B1279">
        <w:t xml:space="preserve">) </w:t>
      </w:r>
      <w:r w:rsidR="00305B95">
        <w:t>handover</w:t>
      </w:r>
      <w:r>
        <w:t xml:space="preserve">. </w:t>
      </w:r>
      <w:r w:rsidR="005B1279">
        <w:fldChar w:fldCharType="begin"/>
      </w:r>
      <w:r w:rsidR="005B1279">
        <w:instrText xml:space="preserve"> REF _Ref525828275 \r \h </w:instrText>
      </w:r>
      <w:r w:rsidR="005B1279">
        <w:fldChar w:fldCharType="separate"/>
      </w:r>
      <w:r w:rsidR="00401E56">
        <w:t>[1]</w:t>
      </w:r>
      <w:r w:rsidR="005B1279">
        <w:fldChar w:fldCharType="end"/>
      </w:r>
    </w:p>
    <w:p w14:paraId="7925F585" w14:textId="68C7BEA1" w:rsidR="005434E8" w:rsidRPr="00CE0424" w:rsidRDefault="005434E8" w:rsidP="00CE0424">
      <w:pPr>
        <w:pStyle w:val="BodyText"/>
      </w:pPr>
      <w:r>
        <w:t xml:space="preserve">We also </w:t>
      </w:r>
      <w:r w:rsidR="00305B95">
        <w:t xml:space="preserve">perform a comprehensive comparison with the work on multi-DCI based multi-TRP transmission performed in the </w:t>
      </w:r>
      <w:proofErr w:type="spellStart"/>
      <w:r w:rsidR="00305B95">
        <w:t>eMIMO</w:t>
      </w:r>
      <w:proofErr w:type="spellEnd"/>
      <w:r w:rsidR="00305B95">
        <w:t xml:space="preserve"> WID. </w:t>
      </w:r>
      <w:r w:rsidR="005B1279">
        <w:fldChar w:fldCharType="begin"/>
      </w:r>
      <w:r w:rsidR="005B1279">
        <w:instrText xml:space="preserve"> REF _Ref4414748 \r \h </w:instrText>
      </w:r>
      <w:r w:rsidR="005B1279">
        <w:fldChar w:fldCharType="separate"/>
      </w:r>
      <w:r w:rsidR="00401E56">
        <w:t>[2]</w:t>
      </w:r>
      <w:r w:rsidR="005B1279">
        <w:fldChar w:fldCharType="end"/>
      </w:r>
    </w:p>
    <w:p w14:paraId="4240D1DF" w14:textId="1840E2E0" w:rsidR="004000E8" w:rsidRDefault="00230D18" w:rsidP="00CE0424">
      <w:pPr>
        <w:pStyle w:val="Heading1"/>
      </w:pPr>
      <w:bookmarkStart w:id="0" w:name="_Ref178064866"/>
      <w:r>
        <w:t>2</w:t>
      </w:r>
      <w:r>
        <w:tab/>
      </w:r>
      <w:r w:rsidR="004000E8" w:rsidRPr="00CE0424">
        <w:t>Discussion</w:t>
      </w:r>
      <w:bookmarkEnd w:id="0"/>
    </w:p>
    <w:p w14:paraId="297D50DC" w14:textId="74BB314B" w:rsidR="0036705B" w:rsidRDefault="003B167A" w:rsidP="00305B95">
      <w:pPr>
        <w:pStyle w:val="BodyText"/>
      </w:pPr>
      <w:r>
        <w:t>RAN2 has agreed to study enhanced Make-Before-Break (</w:t>
      </w:r>
      <w:r w:rsidR="00540402">
        <w:t>MBB</w:t>
      </w:r>
      <w:r>
        <w:t xml:space="preserve">) solutions to push HO interruption to 0ms. The </w:t>
      </w:r>
      <w:r w:rsidR="00540402">
        <w:t>MBB</w:t>
      </w:r>
      <w:r>
        <w:t xml:space="preserve"> solution requires that the UE can simultaneously receive and transmit to more than one cell. In parallel, RAN2 is also studying if dual connectivity (DC) could be used to achieve 0ms delay. Note that </w:t>
      </w:r>
      <w:r w:rsidR="00540402">
        <w:t>MBB</w:t>
      </w:r>
      <w:r>
        <w:t xml:space="preserve"> and DC-</w:t>
      </w:r>
      <w:r>
        <w:lastRenderedPageBreak/>
        <w:t xml:space="preserve">based HO are two different things: the </w:t>
      </w:r>
      <w:r w:rsidR="00540402">
        <w:t>MBB</w:t>
      </w:r>
      <w:r>
        <w:t xml:space="preserve"> solutions </w:t>
      </w:r>
      <w:r w:rsidR="0036705B">
        <w:t>may not rely on the signalling defined for dual connectivity.</w:t>
      </w:r>
      <w:r w:rsidR="00032879">
        <w:t xml:space="preserve"> For a comparison between MBB and DC-based HO, see </w:t>
      </w:r>
      <w:r w:rsidR="006C1D84">
        <w:fldChar w:fldCharType="begin"/>
      </w:r>
      <w:r w:rsidR="006C1D84">
        <w:instrText xml:space="preserve"> REF _Ref4759557 \r \h </w:instrText>
      </w:r>
      <w:r w:rsidR="006C1D84">
        <w:fldChar w:fldCharType="separate"/>
      </w:r>
      <w:r w:rsidR="00401E56">
        <w:t>[3]</w:t>
      </w:r>
      <w:r w:rsidR="006C1D84">
        <w:fldChar w:fldCharType="end"/>
      </w:r>
      <w:r w:rsidR="006C1D84">
        <w:t>.</w:t>
      </w:r>
    </w:p>
    <w:p w14:paraId="0BEA6E50" w14:textId="48574EA0" w:rsidR="0036705B" w:rsidRDefault="0036705B" w:rsidP="00305B95">
      <w:pPr>
        <w:pStyle w:val="BodyText"/>
      </w:pPr>
      <w:r>
        <w:t xml:space="preserve">From a L1 point of view, the </w:t>
      </w:r>
      <w:r w:rsidR="00540402">
        <w:t>MBB</w:t>
      </w:r>
      <w:r>
        <w:t xml:space="preserve"> solution and DC-based HO is quite similar, since they both require that the UE can communicate with two cells at the same time.</w:t>
      </w:r>
      <w:r w:rsidR="00506C85">
        <w:t xml:space="preserve"> The source and target cells may be on the same or on different carriers. Note that for the DC-based solutions, the two cells involved in the HO are the PCell and the </w:t>
      </w:r>
      <w:proofErr w:type="spellStart"/>
      <w:r w:rsidR="00506C85">
        <w:t>PSCell</w:t>
      </w:r>
      <w:proofErr w:type="spellEnd"/>
      <w:r w:rsidR="00506C85">
        <w:t>, which are both source cells, but for simplicity, we will use the terms ‘source’ and ‘target’ throughout this contribution.</w:t>
      </w:r>
    </w:p>
    <w:p w14:paraId="02A282A7" w14:textId="0DC34F25" w:rsidR="00305B95" w:rsidRPr="00305B95" w:rsidRDefault="00506C85" w:rsidP="00305B95">
      <w:pPr>
        <w:pStyle w:val="BodyText"/>
      </w:pPr>
      <w:r>
        <w:t xml:space="preserve">Simultaneous reception from several TRPs </w:t>
      </w:r>
      <w:r w:rsidR="00946C8D">
        <w:t>on the same</w:t>
      </w:r>
      <w:r w:rsidR="004635A5">
        <w:t xml:space="preserve"> carrier</w:t>
      </w:r>
      <w:r w:rsidR="00946C8D">
        <w:t xml:space="preserve"> </w:t>
      </w:r>
      <w:r w:rsidR="00BA13C0">
        <w:t xml:space="preserve">from the same cell or different cells, </w:t>
      </w:r>
      <w:r>
        <w:t xml:space="preserve">has been discussed in the </w:t>
      </w:r>
      <w:proofErr w:type="spellStart"/>
      <w:r w:rsidR="00946C8D">
        <w:t>eMIMO</w:t>
      </w:r>
      <w:proofErr w:type="spellEnd"/>
      <w:r w:rsidR="00946C8D">
        <w:t xml:space="preserve"> WID, as part of the multi-</w:t>
      </w:r>
      <w:r w:rsidR="00081919">
        <w:t>D</w:t>
      </w:r>
      <w:r w:rsidR="00946C8D">
        <w:t>CI solutions</w:t>
      </w:r>
      <w:r w:rsidR="004635A5">
        <w:t xml:space="preserve"> for multi-TRP communication</w:t>
      </w:r>
      <w:r w:rsidR="00946C8D">
        <w:t xml:space="preserve">. </w:t>
      </w:r>
      <w:r w:rsidR="004635A5">
        <w:t>Some of the agreements made during that discussion are relevant also here: the technical issues are identical.</w:t>
      </w:r>
    </w:p>
    <w:p w14:paraId="4BC022B7" w14:textId="3F30F2B9" w:rsidR="00F63950" w:rsidRDefault="00230D18" w:rsidP="00F63950">
      <w:pPr>
        <w:pStyle w:val="Heading2"/>
      </w:pPr>
      <w:r>
        <w:t>2.1</w:t>
      </w:r>
      <w:r>
        <w:tab/>
      </w:r>
      <w:r w:rsidR="006B0D66">
        <w:t xml:space="preserve">Feasibility </w:t>
      </w:r>
      <w:r w:rsidR="0095491B">
        <w:t>of simultaneous reception/transmission</w:t>
      </w:r>
    </w:p>
    <w:p w14:paraId="53DC8690" w14:textId="74FB5147" w:rsidR="0095491B" w:rsidRDefault="0095491B" w:rsidP="0095491B">
      <w:pPr>
        <w:pStyle w:val="BodyText"/>
      </w:pPr>
      <w:r>
        <w:t>The feasibility of simultaneous reception/transmission was discussed for LTE in the recent LS response</w:t>
      </w:r>
      <w:r w:rsidR="000720D0">
        <w:t xml:space="preserve"> </w:t>
      </w:r>
      <w:r w:rsidR="000720D0">
        <w:fldChar w:fldCharType="begin"/>
      </w:r>
      <w:r w:rsidR="000720D0">
        <w:instrText xml:space="preserve"> REF _Ref4398393 \r \h </w:instrText>
      </w:r>
      <w:r w:rsidR="000720D0">
        <w:fldChar w:fldCharType="separate"/>
      </w:r>
      <w:r w:rsidR="00401E56">
        <w:t>[4]</w:t>
      </w:r>
      <w:r w:rsidR="000720D0">
        <w:fldChar w:fldCharType="end"/>
      </w:r>
      <w:r w:rsidR="000720D0">
        <w:t>. In summary it was concluded that</w:t>
      </w:r>
    </w:p>
    <w:p w14:paraId="3AB0AD6D" w14:textId="0C6AEB98" w:rsidR="000720D0" w:rsidRDefault="00F65E4D" w:rsidP="000720D0">
      <w:pPr>
        <w:pStyle w:val="BodyText"/>
        <w:numPr>
          <w:ilvl w:val="0"/>
          <w:numId w:val="25"/>
        </w:numPr>
      </w:pPr>
      <w:r>
        <w:t xml:space="preserve">Inter-frequency, inter-band: simultaneous Rx/Tx may be feasible for some UE designs, but not for all </w:t>
      </w:r>
      <w:r w:rsidRPr="00F65E4D">
        <w:t>source/target bands</w:t>
      </w:r>
      <w:r>
        <w:t xml:space="preserve"> combinations</w:t>
      </w:r>
    </w:p>
    <w:p w14:paraId="7CDCDCFD" w14:textId="5324039D" w:rsidR="00F65E4D" w:rsidRDefault="00F65E4D" w:rsidP="000720D0">
      <w:pPr>
        <w:pStyle w:val="BodyText"/>
        <w:numPr>
          <w:ilvl w:val="0"/>
          <w:numId w:val="25"/>
        </w:numPr>
      </w:pPr>
      <w:r w:rsidRPr="00F65E4D">
        <w:t>Inter-frequency intra-band synchronous</w:t>
      </w:r>
      <w:r>
        <w:t>: simultaneous Rx/Tx may be feasible for some UE designs</w:t>
      </w:r>
    </w:p>
    <w:p w14:paraId="78E5AC01" w14:textId="77777777" w:rsidR="00F65E4D" w:rsidRDefault="00F65E4D" w:rsidP="000720D0">
      <w:pPr>
        <w:pStyle w:val="BodyText"/>
        <w:numPr>
          <w:ilvl w:val="0"/>
          <w:numId w:val="25"/>
        </w:numPr>
      </w:pPr>
      <w:r w:rsidRPr="00F65E4D">
        <w:t>Intra-frequency synchronous</w:t>
      </w:r>
      <w:r>
        <w:t>: simultaneous Rx/Tx may be feasible for some UE designs under some conditions</w:t>
      </w:r>
    </w:p>
    <w:p w14:paraId="27AB8B5B" w14:textId="1CD2D5C7" w:rsidR="00F65E4D" w:rsidRDefault="00F65E4D" w:rsidP="000720D0">
      <w:pPr>
        <w:pStyle w:val="BodyText"/>
        <w:numPr>
          <w:ilvl w:val="0"/>
          <w:numId w:val="25"/>
        </w:numPr>
      </w:pPr>
      <w:r w:rsidRPr="00F65E4D">
        <w:t>Intra-frequency asynchronous</w:t>
      </w:r>
      <w:r>
        <w:t>: simultaneous Rx may be feasible for some UE designs under some conditions</w:t>
      </w:r>
    </w:p>
    <w:p w14:paraId="5F600470" w14:textId="48DB8266" w:rsidR="00F65E4D" w:rsidRDefault="00F65E4D" w:rsidP="00F65E4D">
      <w:pPr>
        <w:pStyle w:val="BodyText"/>
      </w:pPr>
      <w:r>
        <w:t>RAN1 did not conclude on the following:</w:t>
      </w:r>
    </w:p>
    <w:p w14:paraId="28264DE9" w14:textId="7BB436F0" w:rsidR="00F65E4D" w:rsidRDefault="00F65E4D" w:rsidP="00F65E4D">
      <w:pPr>
        <w:pStyle w:val="BodyText"/>
        <w:numPr>
          <w:ilvl w:val="0"/>
          <w:numId w:val="26"/>
        </w:numPr>
      </w:pPr>
      <w:r w:rsidRPr="00F65E4D">
        <w:t>Inter-frequency intra-band asynchronous</w:t>
      </w:r>
    </w:p>
    <w:p w14:paraId="4BAC8E92" w14:textId="1BB47C1E" w:rsidR="00F65E4D" w:rsidRDefault="00F65E4D" w:rsidP="00F65E4D">
      <w:pPr>
        <w:pStyle w:val="BodyText"/>
        <w:numPr>
          <w:ilvl w:val="0"/>
          <w:numId w:val="26"/>
        </w:numPr>
      </w:pPr>
      <w:r w:rsidRPr="00F65E4D">
        <w:t>Intra-frequency asynchronous</w:t>
      </w:r>
      <w:r>
        <w:t xml:space="preserve"> transmission</w:t>
      </w:r>
    </w:p>
    <w:p w14:paraId="48BFAFFF" w14:textId="3F2B6D88" w:rsidR="00F65E4D" w:rsidRDefault="00F65E4D" w:rsidP="00F65E4D">
      <w:pPr>
        <w:pStyle w:val="BodyText"/>
      </w:pPr>
      <w:r>
        <w:t>It is foreseen that the same would apply for NR in FR1, whereas the limitations for FR2 would be more restrictive.</w:t>
      </w:r>
    </w:p>
    <w:p w14:paraId="0015C62A" w14:textId="46A80924" w:rsidR="00544BFC" w:rsidRDefault="00544BFC" w:rsidP="00F65E4D">
      <w:pPr>
        <w:pStyle w:val="BodyText"/>
      </w:pPr>
      <w:r>
        <w:t xml:space="preserve">RAN4 replies in a similar way in </w:t>
      </w:r>
      <w:r w:rsidR="000F0F53">
        <w:fldChar w:fldCharType="begin"/>
      </w:r>
      <w:r w:rsidR="000F0F53">
        <w:instrText xml:space="preserve"> REF _Ref4407715 \r \h </w:instrText>
      </w:r>
      <w:r w:rsidR="000F0F53">
        <w:fldChar w:fldCharType="separate"/>
      </w:r>
      <w:r w:rsidR="00401E56">
        <w:t>[5]</w:t>
      </w:r>
      <w:r w:rsidR="000F0F53">
        <w:fldChar w:fldCharType="end"/>
      </w:r>
      <w:r w:rsidR="000F0F53">
        <w:t xml:space="preserve">, with additional details on bandwidth of the source and target cell. RAN4 also makes the distinction of single or dual </w:t>
      </w:r>
      <w:r w:rsidR="00A37AA3">
        <w:t>FFTs and</w:t>
      </w:r>
      <w:r w:rsidR="000F0F53">
        <w:t xml:space="preserve"> discusses the Tx power difference and UL timing.</w:t>
      </w:r>
    </w:p>
    <w:p w14:paraId="7F885FC6" w14:textId="66CC3234" w:rsidR="000F0F53" w:rsidRDefault="000F0F53" w:rsidP="00F65E4D">
      <w:pPr>
        <w:pStyle w:val="BodyText"/>
      </w:pPr>
      <w:r>
        <w:t xml:space="preserve">There is also the reply LS </w:t>
      </w:r>
      <w:r>
        <w:fldChar w:fldCharType="begin"/>
      </w:r>
      <w:r>
        <w:instrText xml:space="preserve"> REF _Ref4408250 \r \h </w:instrText>
      </w:r>
      <w:r>
        <w:fldChar w:fldCharType="separate"/>
      </w:r>
      <w:r w:rsidR="00401E56">
        <w:t>[6]</w:t>
      </w:r>
      <w:r>
        <w:fldChar w:fldCharType="end"/>
      </w:r>
      <w:r>
        <w:t>, which discusses the same topic. Here, there is also additional statements that dual RF chains is not a typical implementation. Furthermore, FR2 is discussed, and RAN4 states that simultaneous Rx/Tx from two intra-frequency cells is not feasible.</w:t>
      </w:r>
    </w:p>
    <w:p w14:paraId="760A4663" w14:textId="0D71F6C9" w:rsidR="00F65E4D" w:rsidRDefault="00F65E4D" w:rsidP="00F65E4D">
      <w:pPr>
        <w:pStyle w:val="BodyText"/>
      </w:pPr>
      <w:r>
        <w:t xml:space="preserve">Overall, seems difficult to draw conclusions on the feasibility of simultaneous Rx/Tx in general. However, for the important intra-frequency case, there has been some progress in the </w:t>
      </w:r>
      <w:proofErr w:type="spellStart"/>
      <w:r>
        <w:t>eMIMO</w:t>
      </w:r>
      <w:proofErr w:type="spellEnd"/>
      <w:r>
        <w:t xml:space="preserve"> work, </w:t>
      </w:r>
      <w:proofErr w:type="gramStart"/>
      <w:r>
        <w:t>in particular for</w:t>
      </w:r>
      <w:proofErr w:type="gramEnd"/>
      <w:r>
        <w:t xml:space="preserve"> the multi-TRP, multi-DCI topic. In our understanding, the situations are very similar:</w:t>
      </w:r>
    </w:p>
    <w:p w14:paraId="68152CF9" w14:textId="62B332A4" w:rsidR="00F65E4D" w:rsidRDefault="00F65E4D" w:rsidP="00F65E4D">
      <w:pPr>
        <w:pStyle w:val="Observation"/>
      </w:pPr>
      <w:bookmarkStart w:id="1" w:name="_Toc4783260"/>
      <w:r>
        <w:t xml:space="preserve">Simultaneous Rx/Tx required for </w:t>
      </w:r>
      <w:r w:rsidR="00A471E3">
        <w:t xml:space="preserve">intra-frequency </w:t>
      </w:r>
      <w:r w:rsidR="00540402">
        <w:t>MBB</w:t>
      </w:r>
      <w:r w:rsidR="00A471E3">
        <w:t xml:space="preserve"> and DC-based HO is equivalent to the simultaneous Rx/Tx required for multi-TRP Rx/Tx using multiple PDCCH.</w:t>
      </w:r>
      <w:bookmarkEnd w:id="1"/>
    </w:p>
    <w:p w14:paraId="4AB09E70" w14:textId="27A93D70" w:rsidR="00A471E3" w:rsidRDefault="00A471E3" w:rsidP="00A471E3">
      <w:pPr>
        <w:pStyle w:val="BodyText"/>
      </w:pPr>
      <w:r>
        <w:t xml:space="preserve">In the </w:t>
      </w:r>
      <w:proofErr w:type="spellStart"/>
      <w:r>
        <w:t>eMIMO</w:t>
      </w:r>
      <w:proofErr w:type="spellEnd"/>
      <w:r w:rsidR="007620A2">
        <w:t xml:space="preserve"> work</w:t>
      </w:r>
      <w:r>
        <w:t>, the following was agreed in RAN1 #96:</w:t>
      </w:r>
    </w:p>
    <w:p w14:paraId="1DEE8500" w14:textId="2475119E" w:rsidR="00A471E3" w:rsidRPr="0095491B" w:rsidRDefault="00A471E3" w:rsidP="00A471E3">
      <w:pPr>
        <w:pStyle w:val="BodyText"/>
      </w:pPr>
      <w:r>
        <w:rPr>
          <w:noProof/>
        </w:rPr>
        <w:lastRenderedPageBreak/>
        <mc:AlternateContent>
          <mc:Choice Requires="wps">
            <w:drawing>
              <wp:inline distT="0" distB="0" distL="0" distR="0" wp14:anchorId="3A318DBA" wp14:editId="26ABA71D">
                <wp:extent cx="6153150" cy="1514475"/>
                <wp:effectExtent l="0" t="0" r="19050" b="13970"/>
                <wp:docPr id="2" name="Text Box 2"/>
                <wp:cNvGraphicFramePr/>
                <a:graphic xmlns:a="http://schemas.openxmlformats.org/drawingml/2006/main">
                  <a:graphicData uri="http://schemas.microsoft.com/office/word/2010/wordprocessingShape">
                    <wps:wsp>
                      <wps:cNvSpPr txBox="1"/>
                      <wps:spPr>
                        <a:xfrm>
                          <a:off x="0" y="0"/>
                          <a:ext cx="6153150" cy="1514475"/>
                        </a:xfrm>
                        <a:prstGeom prst="rect">
                          <a:avLst/>
                        </a:prstGeom>
                        <a:solidFill>
                          <a:schemeClr val="lt1"/>
                        </a:solidFill>
                        <a:ln w="6350">
                          <a:solidFill>
                            <a:prstClr val="black"/>
                          </a:solidFill>
                        </a:ln>
                      </wps:spPr>
                      <wps:txbx>
                        <w:txbxContent>
                          <w:p w14:paraId="4E713E5C" w14:textId="77777777" w:rsidR="009B560B" w:rsidRPr="009E4176" w:rsidRDefault="009B560B" w:rsidP="00A471E3">
                            <w:pPr>
                              <w:jc w:val="both"/>
                              <w:rPr>
                                <w:b/>
                                <w:highlight w:val="green"/>
                              </w:rPr>
                            </w:pPr>
                            <w:r w:rsidRPr="009E4176">
                              <w:rPr>
                                <w:b/>
                                <w:highlight w:val="green"/>
                              </w:rPr>
                              <w:t>Agreement</w:t>
                            </w:r>
                          </w:p>
                          <w:p w14:paraId="69722510" w14:textId="77777777" w:rsidR="009B560B" w:rsidRPr="009E4176" w:rsidRDefault="009B560B" w:rsidP="00A471E3">
                            <w:pPr>
                              <w:jc w:val="both"/>
                            </w:pPr>
                            <w:r w:rsidRPr="009E4176">
                              <w:t xml:space="preserve">For a UE supporting multiple-PDCCH based multi-TRP/panel transmission and each PDCCH schedules one PDSCH, at least for </w:t>
                            </w:r>
                            <w:proofErr w:type="spellStart"/>
                            <w:r w:rsidRPr="009E4176">
                              <w:t>eMBB</w:t>
                            </w:r>
                            <w:proofErr w:type="spellEnd"/>
                            <w:r w:rsidRPr="009E4176">
                              <w:t xml:space="preserve"> with non-ideal backhaul, support following restrictions: </w:t>
                            </w:r>
                          </w:p>
                          <w:p w14:paraId="5B04C841" w14:textId="77777777" w:rsidR="009B560B" w:rsidRPr="009E4176" w:rsidRDefault="009B560B" w:rsidP="00A471E3">
                            <w:pPr>
                              <w:numPr>
                                <w:ilvl w:val="0"/>
                                <w:numId w:val="27"/>
                              </w:numPr>
                              <w:overflowPunct/>
                              <w:autoSpaceDE/>
                              <w:autoSpaceDN/>
                              <w:adjustRightInd/>
                              <w:spacing w:after="0"/>
                              <w:contextualSpacing/>
                              <w:jc w:val="both"/>
                              <w:textAlignment w:val="auto"/>
                              <w:rPr>
                                <w:rFonts w:eastAsia="SimSun"/>
                              </w:rPr>
                            </w:pPr>
                            <w:r w:rsidRPr="009E4176">
                              <w:rPr>
                                <w:rFonts w:eastAsia="SimSun"/>
                              </w:rPr>
                              <w:t>The UE may be scheduled with fully/partially/non-overlapped PDSCHs at time and frequency domain by multiple PDCCHs with following restrictions:</w:t>
                            </w:r>
                          </w:p>
                          <w:p w14:paraId="61833F9A"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032BD68F"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have more than one TCI index with DMRS ports within the same CDM group for fully/partially overlapped PDSCHs </w:t>
                            </w:r>
                          </w:p>
                          <w:p w14:paraId="43D2D6BC"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Full scheduling information for receiving a PDSCH is indicated and carried only by the corresponding PDCCH.  </w:t>
                            </w:r>
                          </w:p>
                          <w:p w14:paraId="0A84B947"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20C48E25"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number of active BWPs for a UE is 1 per CC </w:t>
                            </w:r>
                          </w:p>
                          <w:p w14:paraId="2F8DE182"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FFS: PDSCH mapping type from two co-scheduled PDSCHs</w:t>
                            </w:r>
                          </w:p>
                          <w:p w14:paraId="7110F750"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FFS: Alignment of PRG-level grid from multiple TRPs</w:t>
                            </w:r>
                          </w:p>
                          <w:p w14:paraId="32ECB605"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FFS: How to ensure the same active BWP between multiple TRPs</w:t>
                            </w:r>
                          </w:p>
                          <w:p w14:paraId="32B875DE" w14:textId="663DA3D7" w:rsidR="009B560B" w:rsidRPr="00AD31D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Note that rate matching mechanisms (if need) to support multi-DCI based NCJT will be discussed separately.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A318DBA" id="Text Box 2" o:spid="_x0000_s1027" type="#_x0000_t202" style="width:484.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" fillcolor="white [3201]" strokeweight=".5pt">
                <v:textbox style="mso-fit-shape-to-text:t">
                  <w:txbxContent>
                    <w:p w14:paraId="4E713E5C" w14:textId="77777777" w:rsidR="009B560B" w:rsidRPr="009E4176" w:rsidRDefault="009B560B" w:rsidP="00A471E3">
                      <w:pPr>
                        <w:jc w:val="both"/>
                        <w:rPr>
                          <w:b/>
                          <w:highlight w:val="green"/>
                        </w:rPr>
                      </w:pPr>
                      <w:r w:rsidRPr="009E4176">
                        <w:rPr>
                          <w:b/>
                          <w:highlight w:val="green"/>
                        </w:rPr>
                        <w:t>Agreement</w:t>
                      </w:r>
                    </w:p>
                    <w:p w14:paraId="69722510" w14:textId="77777777" w:rsidR="009B560B" w:rsidRPr="009E4176" w:rsidRDefault="009B560B" w:rsidP="00A471E3">
                      <w:pPr>
                        <w:jc w:val="both"/>
                      </w:pPr>
                      <w:r w:rsidRPr="009E4176">
                        <w:t xml:space="preserve">For a UE supporting multiple-PDCCH based multi-TRP/panel transmission and each PDCCH schedules one PDSCH, at least for </w:t>
                      </w:r>
                      <w:proofErr w:type="spellStart"/>
                      <w:r w:rsidRPr="009E4176">
                        <w:t>eMBB</w:t>
                      </w:r>
                      <w:proofErr w:type="spellEnd"/>
                      <w:r w:rsidRPr="009E4176">
                        <w:t xml:space="preserve"> with non-ideal backhaul, support following restrictions: </w:t>
                      </w:r>
                    </w:p>
                    <w:p w14:paraId="5B04C841" w14:textId="77777777" w:rsidR="009B560B" w:rsidRPr="009E4176" w:rsidRDefault="009B560B" w:rsidP="00A471E3">
                      <w:pPr>
                        <w:numPr>
                          <w:ilvl w:val="0"/>
                          <w:numId w:val="27"/>
                        </w:numPr>
                        <w:overflowPunct/>
                        <w:autoSpaceDE/>
                        <w:autoSpaceDN/>
                        <w:adjustRightInd/>
                        <w:spacing w:after="0"/>
                        <w:contextualSpacing/>
                        <w:jc w:val="both"/>
                        <w:textAlignment w:val="auto"/>
                        <w:rPr>
                          <w:rFonts w:eastAsia="SimSun"/>
                        </w:rPr>
                      </w:pPr>
                      <w:r w:rsidRPr="009E4176">
                        <w:rPr>
                          <w:rFonts w:eastAsia="SimSun"/>
                        </w:rPr>
                        <w:t>The UE may be scheduled with fully/partially/non-overlapped PDSCHs at time and frequency domain by multiple PDCCHs with following restrictions:</w:t>
                      </w:r>
                    </w:p>
                    <w:p w14:paraId="61833F9A"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032BD68F"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UE is not expected to have more than one TCI index with DMRS ports within the same CDM group for fully/partially overlapped PDSCHs </w:t>
                      </w:r>
                    </w:p>
                    <w:p w14:paraId="43D2D6BC"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Full scheduling information for receiving a PDSCH is indicated and carried only by the corresponding PDCCH.  </w:t>
                      </w:r>
                    </w:p>
                    <w:p w14:paraId="0A84B947"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The UE is expected to be scheduled with the same active BWP bandwidth and the same SCS if the UE is expected to receive multiple PDSCHs simultaneously at given symbols.</w:t>
                      </w:r>
                    </w:p>
                    <w:p w14:paraId="20C48E25"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 xml:space="preserve">The number of active BWPs for a UE is 1 per CC </w:t>
                      </w:r>
                    </w:p>
                    <w:p w14:paraId="2F8DE182"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FFS: PDSCH mapping type from two co-scheduled PDSCHs</w:t>
                      </w:r>
                    </w:p>
                    <w:p w14:paraId="7110F750"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FFS: Alignment of PRG-level grid from multiple TRPs</w:t>
                      </w:r>
                    </w:p>
                    <w:p w14:paraId="32ECB605" w14:textId="77777777" w:rsidR="009B560B" w:rsidRPr="009E417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FFS: How to ensure the same active BWP between multiple TRPs</w:t>
                      </w:r>
                    </w:p>
                    <w:p w14:paraId="32B875DE" w14:textId="663DA3D7" w:rsidR="009B560B" w:rsidRPr="00AD31D6" w:rsidRDefault="009B560B" w:rsidP="00A471E3">
                      <w:pPr>
                        <w:numPr>
                          <w:ilvl w:val="1"/>
                          <w:numId w:val="27"/>
                        </w:numPr>
                        <w:overflowPunct/>
                        <w:autoSpaceDE/>
                        <w:autoSpaceDN/>
                        <w:adjustRightInd/>
                        <w:spacing w:after="0"/>
                        <w:contextualSpacing/>
                        <w:jc w:val="both"/>
                        <w:textAlignment w:val="auto"/>
                        <w:rPr>
                          <w:rFonts w:eastAsia="SimSun"/>
                        </w:rPr>
                      </w:pPr>
                      <w:r w:rsidRPr="009E4176">
                        <w:rPr>
                          <w:rFonts w:eastAsia="SimSun"/>
                        </w:rPr>
                        <w:t>Note that rate matching mechanisms (if need) to support multi-DCI based NCJT will be discussed separately.</w:t>
                      </w:r>
                    </w:p>
                  </w:txbxContent>
                </v:textbox>
                <w10:anchorlock/>
              </v:shape>
            </w:pict>
          </mc:Fallback>
        </mc:AlternateContent>
      </w:r>
    </w:p>
    <w:p w14:paraId="7BC231E1" w14:textId="4B232389" w:rsidR="00A471E3" w:rsidRDefault="00A471E3" w:rsidP="00A471E3">
      <w:pPr>
        <w:pStyle w:val="BodyText"/>
      </w:pPr>
      <w:r>
        <w:t xml:space="preserve">From </w:t>
      </w:r>
      <w:r w:rsidR="00AD31D6">
        <w:t xml:space="preserve">this </w:t>
      </w:r>
      <w:r>
        <w:t xml:space="preserve">agreement, we note that the </w:t>
      </w:r>
      <w:r w:rsidR="00AD31D6">
        <w:t>UE can assume that the DMRS symbols overlap completely in time (“actual DMRS symbol locations”), which would only work in a synchronized system. Hence, even with multiple PDCCHs, asynchronous operation has been ruled out.</w:t>
      </w:r>
    </w:p>
    <w:p w14:paraId="1BBA7097" w14:textId="06139ADD" w:rsidR="00AD31D6" w:rsidRDefault="00AD31D6" w:rsidP="00AD31D6">
      <w:pPr>
        <w:pStyle w:val="Observation"/>
      </w:pPr>
      <w:bookmarkStart w:id="2" w:name="_Toc4783261"/>
      <w:r>
        <w:t>Asynchronous intra-frequency operation has been ruled out for multi-TRP operation using multiple PDCCHs.</w:t>
      </w:r>
      <w:bookmarkEnd w:id="2"/>
    </w:p>
    <w:p w14:paraId="3928B2E7" w14:textId="2ADD0883" w:rsidR="00E6177B" w:rsidRDefault="00E6177B" w:rsidP="00E6177B">
      <w:pPr>
        <w:pStyle w:val="BodyText"/>
      </w:pPr>
      <w:r>
        <w:t>The following agreement was also agreed</w:t>
      </w:r>
    </w:p>
    <w:p w14:paraId="105C9C39" w14:textId="1223E7FC" w:rsidR="00A471E3" w:rsidRDefault="00AD31D6" w:rsidP="00A471E3">
      <w:pPr>
        <w:pStyle w:val="BodyText"/>
      </w:pPr>
      <w:r>
        <w:rPr>
          <w:noProof/>
        </w:rPr>
        <mc:AlternateContent>
          <mc:Choice Requires="wps">
            <w:drawing>
              <wp:inline distT="0" distB="0" distL="0" distR="0" wp14:anchorId="74089367" wp14:editId="1E1761C9">
                <wp:extent cx="6120765" cy="5659023"/>
                <wp:effectExtent l="0" t="0" r="13335" b="26035"/>
                <wp:docPr id="3" name="Text Box 3"/>
                <wp:cNvGraphicFramePr/>
                <a:graphic xmlns:a="http://schemas.openxmlformats.org/drawingml/2006/main">
                  <a:graphicData uri="http://schemas.microsoft.com/office/word/2010/wordprocessingShape">
                    <wps:wsp>
                      <wps:cNvSpPr txBox="1"/>
                      <wps:spPr>
                        <a:xfrm>
                          <a:off x="0" y="0"/>
                          <a:ext cx="6120765" cy="5659023"/>
                        </a:xfrm>
                        <a:prstGeom prst="rect">
                          <a:avLst/>
                        </a:prstGeom>
                        <a:solidFill>
                          <a:schemeClr val="lt1"/>
                        </a:solidFill>
                        <a:ln w="6350">
                          <a:solidFill>
                            <a:prstClr val="black"/>
                          </a:solidFill>
                        </a:ln>
                      </wps:spPr>
                      <wps:txbx>
                        <w:txbxContent>
                          <w:p w14:paraId="76BE75D6" w14:textId="77777777" w:rsidR="009B560B" w:rsidRPr="00064D66" w:rsidRDefault="009B560B" w:rsidP="00AD31D6">
                            <w:pPr>
                              <w:rPr>
                                <w:b/>
                                <w:highlight w:val="green"/>
                                <w:lang w:eastAsia="x-none"/>
                              </w:rPr>
                            </w:pPr>
                            <w:r w:rsidRPr="00064D66">
                              <w:rPr>
                                <w:b/>
                                <w:highlight w:val="green"/>
                                <w:lang w:eastAsia="x-none"/>
                              </w:rPr>
                              <w:t>Agreement</w:t>
                            </w:r>
                          </w:p>
                          <w:p w14:paraId="03BB82D7" w14:textId="77777777" w:rsidR="009B560B" w:rsidRPr="00064D66" w:rsidRDefault="009B560B" w:rsidP="00AD31D6">
                            <w:pPr>
                              <w:tabs>
                                <w:tab w:val="left" w:pos="720"/>
                                <w:tab w:val="left" w:pos="2160"/>
                              </w:tabs>
                              <w:jc w:val="both"/>
                              <w:rPr>
                                <w:rFonts w:eastAsia="SimSun"/>
                                <w:szCs w:val="22"/>
                                <w:lang w:eastAsia="zh-CN"/>
                              </w:rPr>
                            </w:pPr>
                            <w:r w:rsidRPr="00064D66">
                              <w:rPr>
                                <w:rFonts w:eastAsia="SimSun"/>
                                <w:szCs w:val="22"/>
                                <w:lang w:eastAsia="zh-CN"/>
                              </w:rPr>
                              <w:t xml:space="preserve">For separate ACK/NACK payload/feedback for received PDSCHs where multiple DCIs are used, </w:t>
                            </w:r>
                          </w:p>
                          <w:p w14:paraId="4B971B64"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PUCCH resources conveying ACK/NACK feedback can be TDM with separated </w:t>
                            </w:r>
                            <w:r w:rsidRPr="00064D66">
                              <w:rPr>
                                <w:rFonts w:eastAsia="Malgun Gothic"/>
                                <w:szCs w:val="22"/>
                                <w:lang w:val="en-US" w:eastAsia="ko-KR"/>
                              </w:rPr>
                              <w:t xml:space="preserve">HARQ-ACK codebook. </w:t>
                            </w:r>
                          </w:p>
                          <w:p w14:paraId="7F02A863" w14:textId="77777777" w:rsidR="009B560B" w:rsidRPr="00064D66" w:rsidRDefault="009B560B"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TDM within a slot </w:t>
                            </w:r>
                          </w:p>
                          <w:p w14:paraId="2402CEBC" w14:textId="77777777" w:rsidR="009B560B" w:rsidRPr="00064D66" w:rsidRDefault="009B560B"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the format of PUCCH from multiple TRP shall be same or different </w:t>
                            </w:r>
                          </w:p>
                          <w:p w14:paraId="1AC1C403" w14:textId="77777777" w:rsidR="009B560B" w:rsidRPr="00064D66" w:rsidRDefault="009B560B" w:rsidP="00AD31D6">
                            <w:pPr>
                              <w:tabs>
                                <w:tab w:val="left" w:pos="720"/>
                                <w:tab w:val="left" w:pos="2160"/>
                              </w:tabs>
                              <w:contextualSpacing/>
                              <w:jc w:val="both"/>
                              <w:rPr>
                                <w:rFonts w:eastAsia="SimSun"/>
                                <w:szCs w:val="22"/>
                                <w:lang w:eastAsia="zh-CN"/>
                              </w:rPr>
                            </w:pPr>
                            <w:r w:rsidRPr="00064D66">
                              <w:rPr>
                                <w:rFonts w:eastAsia="SimSun"/>
                                <w:szCs w:val="22"/>
                                <w:lang w:eastAsia="zh-CN"/>
                              </w:rPr>
                              <w:t xml:space="preserve">For issues related to PUCCH resources, study including: </w:t>
                            </w:r>
                          </w:p>
                          <w:p w14:paraId="16896608"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Malgun Gothic"/>
                                <w:szCs w:val="22"/>
                                <w:lang w:eastAsia="ko-KR"/>
                              </w:rPr>
                              <w:t>FFS: i</w:t>
                            </w:r>
                            <w:r w:rsidRPr="00064D66">
                              <w:rPr>
                                <w:rFonts w:eastAsia="SimSun"/>
                                <w:szCs w:val="22"/>
                                <w:lang w:eastAsia="zh-CN"/>
                              </w:rPr>
                              <w:t>f PUCCH resources conveying ACK/NACK feedback are overlapped at time, whether predefined dropping rule is needed to drop ACK/NACK feedback.</w:t>
                            </w:r>
                          </w:p>
                          <w:p w14:paraId="301C0A90"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how to handle ACK/NACK overlapping with CSI reporting for different TRPs </w:t>
                            </w:r>
                          </w:p>
                          <w:p w14:paraId="3ECDFEFE"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FFS: how to handle PUCCH overlapping with PUSCH at the time domain for different TRPs</w:t>
                            </w:r>
                          </w:p>
                          <w:p w14:paraId="7FBC3774"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whether the UE can assume simultaneous ACK/NACK transmission from multiple PUCCH resources, and associated details of configurations/indication/UE capability.  </w:t>
                            </w:r>
                          </w:p>
                          <w:p w14:paraId="72A84D88" w14:textId="77777777" w:rsidR="009B560B" w:rsidRPr="00064D66" w:rsidRDefault="009B560B" w:rsidP="00AD31D6">
                            <w:pPr>
                              <w:rPr>
                                <w:lang w:eastAsia="x-none"/>
                              </w:rPr>
                            </w:pPr>
                            <w:r w:rsidRPr="00064D66">
                              <w:rPr>
                                <w:lang w:eastAsia="x-none"/>
                              </w:rPr>
                              <w:t>Include in LS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089367" id="Text Box 3" o:spid="_x0000_s1028" type="#_x0000_t202" style="width:481.95pt;height:4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" fillcolor="white [3201]" strokeweight=".5pt">
                <v:textbox style="mso-fit-shape-to-text:t">
                  <w:txbxContent>
                    <w:p w14:paraId="76BE75D6" w14:textId="77777777" w:rsidR="009B560B" w:rsidRPr="00064D66" w:rsidRDefault="009B560B" w:rsidP="00AD31D6">
                      <w:pPr>
                        <w:rPr>
                          <w:b/>
                          <w:highlight w:val="green"/>
                          <w:lang w:eastAsia="x-none"/>
                        </w:rPr>
                      </w:pPr>
                      <w:r w:rsidRPr="00064D66">
                        <w:rPr>
                          <w:b/>
                          <w:highlight w:val="green"/>
                          <w:lang w:eastAsia="x-none"/>
                        </w:rPr>
                        <w:t>Agreement</w:t>
                      </w:r>
                    </w:p>
                    <w:p w14:paraId="03BB82D7" w14:textId="77777777" w:rsidR="009B560B" w:rsidRPr="00064D66" w:rsidRDefault="009B560B" w:rsidP="00AD31D6">
                      <w:pPr>
                        <w:tabs>
                          <w:tab w:val="left" w:pos="720"/>
                          <w:tab w:val="left" w:pos="2160"/>
                        </w:tabs>
                        <w:jc w:val="both"/>
                        <w:rPr>
                          <w:rFonts w:eastAsia="SimSun"/>
                          <w:szCs w:val="22"/>
                          <w:lang w:eastAsia="zh-CN"/>
                        </w:rPr>
                      </w:pPr>
                      <w:r w:rsidRPr="00064D66">
                        <w:rPr>
                          <w:rFonts w:eastAsia="SimSun"/>
                          <w:szCs w:val="22"/>
                          <w:lang w:eastAsia="zh-CN"/>
                        </w:rPr>
                        <w:t xml:space="preserve">For separate ACK/NACK payload/feedback for received PDSCHs where multiple DCIs are used, </w:t>
                      </w:r>
                    </w:p>
                    <w:p w14:paraId="4B971B64"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PUCCH resources conveying ACK/NACK feedback can be TDM with separated </w:t>
                      </w:r>
                      <w:r w:rsidRPr="00064D66">
                        <w:rPr>
                          <w:rFonts w:eastAsia="Malgun Gothic"/>
                          <w:szCs w:val="22"/>
                          <w:lang w:val="en-US" w:eastAsia="ko-KR"/>
                        </w:rPr>
                        <w:t xml:space="preserve">HARQ-ACK codebook. </w:t>
                      </w:r>
                    </w:p>
                    <w:p w14:paraId="7F02A863" w14:textId="77777777" w:rsidR="009B560B" w:rsidRPr="00064D66" w:rsidRDefault="009B560B"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TDM within a slot </w:t>
                      </w:r>
                    </w:p>
                    <w:p w14:paraId="2402CEBC" w14:textId="77777777" w:rsidR="009B560B" w:rsidRPr="00064D66" w:rsidRDefault="009B560B" w:rsidP="00AD31D6">
                      <w:pPr>
                        <w:numPr>
                          <w:ilvl w:val="1"/>
                          <w:numId w:val="28"/>
                        </w:numPr>
                        <w:tabs>
                          <w:tab w:val="left" w:pos="720"/>
                          <w:tab w:val="left" w:pos="1080"/>
                        </w:tabs>
                        <w:spacing w:after="0"/>
                        <w:contextualSpacing/>
                        <w:jc w:val="both"/>
                        <w:rPr>
                          <w:rFonts w:eastAsia="SimSun"/>
                          <w:szCs w:val="22"/>
                          <w:lang w:eastAsia="zh-CN"/>
                        </w:rPr>
                      </w:pPr>
                      <w:r w:rsidRPr="00064D66">
                        <w:rPr>
                          <w:rFonts w:eastAsia="SimSun"/>
                          <w:szCs w:val="22"/>
                          <w:lang w:eastAsia="zh-CN"/>
                        </w:rPr>
                        <w:t xml:space="preserve">FFS: the format of PUCCH from multiple TRP shall be same or different </w:t>
                      </w:r>
                    </w:p>
                    <w:p w14:paraId="1AC1C403" w14:textId="77777777" w:rsidR="009B560B" w:rsidRPr="00064D66" w:rsidRDefault="009B560B" w:rsidP="00AD31D6">
                      <w:pPr>
                        <w:tabs>
                          <w:tab w:val="left" w:pos="720"/>
                          <w:tab w:val="left" w:pos="2160"/>
                        </w:tabs>
                        <w:contextualSpacing/>
                        <w:jc w:val="both"/>
                        <w:rPr>
                          <w:rFonts w:eastAsia="SimSun"/>
                          <w:szCs w:val="22"/>
                          <w:lang w:eastAsia="zh-CN"/>
                        </w:rPr>
                      </w:pPr>
                      <w:r w:rsidRPr="00064D66">
                        <w:rPr>
                          <w:rFonts w:eastAsia="SimSun"/>
                          <w:szCs w:val="22"/>
                          <w:lang w:eastAsia="zh-CN"/>
                        </w:rPr>
                        <w:t xml:space="preserve">For issues related to PUCCH resources, study including: </w:t>
                      </w:r>
                    </w:p>
                    <w:p w14:paraId="16896608"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Malgun Gothic"/>
                          <w:szCs w:val="22"/>
                          <w:lang w:eastAsia="ko-KR"/>
                        </w:rPr>
                        <w:t>FFS: i</w:t>
                      </w:r>
                      <w:r w:rsidRPr="00064D66">
                        <w:rPr>
                          <w:rFonts w:eastAsia="SimSun"/>
                          <w:szCs w:val="22"/>
                          <w:lang w:eastAsia="zh-CN"/>
                        </w:rPr>
                        <w:t>f PUCCH resources conveying ACK/NACK feedback are overlapped at time, whether predefined dropping rule is needed to drop ACK/NACK feedback.</w:t>
                      </w:r>
                    </w:p>
                    <w:p w14:paraId="301C0A90"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how to handle ACK/NACK overlapping with CSI reporting for different TRPs </w:t>
                      </w:r>
                    </w:p>
                    <w:p w14:paraId="3ECDFEFE"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FFS: how to handle PUCCH overlapping with PUSCH at the time domain for different TRPs</w:t>
                      </w:r>
                    </w:p>
                    <w:p w14:paraId="7FBC3774" w14:textId="77777777" w:rsidR="009B560B" w:rsidRPr="00064D66" w:rsidRDefault="009B560B" w:rsidP="00AD31D6">
                      <w:pPr>
                        <w:numPr>
                          <w:ilvl w:val="0"/>
                          <w:numId w:val="28"/>
                        </w:numPr>
                        <w:tabs>
                          <w:tab w:val="left" w:pos="720"/>
                          <w:tab w:val="left" w:pos="2160"/>
                        </w:tabs>
                        <w:spacing w:after="0"/>
                        <w:contextualSpacing/>
                        <w:jc w:val="both"/>
                        <w:rPr>
                          <w:rFonts w:eastAsia="SimSun"/>
                          <w:szCs w:val="22"/>
                          <w:lang w:eastAsia="zh-CN"/>
                        </w:rPr>
                      </w:pPr>
                      <w:r w:rsidRPr="00064D66">
                        <w:rPr>
                          <w:rFonts w:eastAsia="SimSun"/>
                          <w:szCs w:val="22"/>
                          <w:lang w:eastAsia="zh-CN"/>
                        </w:rPr>
                        <w:t xml:space="preserve">FFS: whether the UE can assume simultaneous ACK/NACK transmission from multiple PUCCH resources, and associated details of configurations/indication/UE capability.  </w:t>
                      </w:r>
                    </w:p>
                    <w:p w14:paraId="72A84D88" w14:textId="77777777" w:rsidR="009B560B" w:rsidRPr="00064D66" w:rsidRDefault="009B560B" w:rsidP="00AD31D6">
                      <w:pPr>
                        <w:rPr>
                          <w:lang w:eastAsia="x-none"/>
                        </w:rPr>
                      </w:pPr>
                      <w:r w:rsidRPr="00064D66">
                        <w:rPr>
                          <w:lang w:eastAsia="x-none"/>
                        </w:rPr>
                        <w:t>Include in LS to RAN2</w:t>
                      </w:r>
                    </w:p>
                  </w:txbxContent>
                </v:textbox>
                <w10:anchorlock/>
              </v:shape>
            </w:pict>
          </mc:Fallback>
        </mc:AlternateContent>
      </w:r>
    </w:p>
    <w:p w14:paraId="354805F9" w14:textId="77777777" w:rsidR="00566BC9" w:rsidRDefault="00E6177B" w:rsidP="00A471E3">
      <w:pPr>
        <w:pStyle w:val="BodyText"/>
      </w:pPr>
      <w:r>
        <w:t>Here we note that the PUCCH conveying the ACK</w:t>
      </w:r>
      <w:r w:rsidR="00566BC9">
        <w:t xml:space="preserve">/NACK feedback to the different TRPs needs to be TDM. Thus, the PUCCH scheduling must be coordinated across the TRPs. </w:t>
      </w:r>
    </w:p>
    <w:p w14:paraId="06875AD5" w14:textId="6D79C207" w:rsidR="00E6177B" w:rsidRDefault="00566BC9" w:rsidP="00566BC9">
      <w:pPr>
        <w:pStyle w:val="Observation"/>
      </w:pPr>
      <w:bookmarkStart w:id="3" w:name="_Ref4401514"/>
      <w:bookmarkStart w:id="4" w:name="_Toc4783262"/>
      <w:r>
        <w:t>The scheduling of the PUCCH conveying the ACK/NACK must be coordinated across the TRPs.</w:t>
      </w:r>
      <w:bookmarkEnd w:id="3"/>
      <w:bookmarkEnd w:id="4"/>
    </w:p>
    <w:p w14:paraId="73158505" w14:textId="1FD0930A" w:rsidR="00566BC9" w:rsidRDefault="00566BC9" w:rsidP="00566BC9">
      <w:pPr>
        <w:pStyle w:val="BodyText"/>
      </w:pPr>
      <w:r>
        <w:t xml:space="preserve">Based on </w:t>
      </w:r>
      <w:r>
        <w:fldChar w:fldCharType="begin"/>
      </w:r>
      <w:r>
        <w:instrText xml:space="preserve"> REF _Ref4401514 \r \h </w:instrText>
      </w:r>
      <w:r>
        <w:fldChar w:fldCharType="separate"/>
      </w:r>
      <w:r w:rsidR="00401E56">
        <w:t>Observation 3</w:t>
      </w:r>
      <w:r>
        <w:fldChar w:fldCharType="end"/>
      </w:r>
      <w:r>
        <w:t>, we realize that some level of coordination is required to handle this feedback.</w:t>
      </w:r>
    </w:p>
    <w:p w14:paraId="1DC99EF7" w14:textId="0370F337" w:rsidR="00566BC9" w:rsidRDefault="00A24B86" w:rsidP="00566BC9">
      <w:pPr>
        <w:pStyle w:val="BodyText"/>
      </w:pPr>
      <w:r>
        <w:t xml:space="preserve">Summing up, we realize that the UE designs applicable for multi-TRP using multiple PDCCHs will require synchronous deployments where the TRPs are coordinated to some level. </w:t>
      </w:r>
    </w:p>
    <w:p w14:paraId="1F2F4379" w14:textId="59F60C70" w:rsidR="001B1523" w:rsidRDefault="001B1523" w:rsidP="001B1523">
      <w:pPr>
        <w:pStyle w:val="Observation"/>
      </w:pPr>
      <w:bookmarkStart w:id="5" w:name="_Toc4783263"/>
      <w:r>
        <w:t>UE designs for multi-TRP using multiple PDCCHs will require synchronous deployments where the TRPs are coordinated to some level.</w:t>
      </w:r>
      <w:bookmarkEnd w:id="5"/>
    </w:p>
    <w:p w14:paraId="4F47FDC7" w14:textId="50DDE10F" w:rsidR="001B1523" w:rsidRDefault="001B1523" w:rsidP="001B1523">
      <w:pPr>
        <w:pStyle w:val="BodyText"/>
      </w:pPr>
      <w:r>
        <w:t xml:space="preserve">In our understanding, the restrictions agreed to multi-TRP using multiple PDCCHs will be relevant also for intra-frequency </w:t>
      </w:r>
      <w:r w:rsidR="00540402">
        <w:t>MBB</w:t>
      </w:r>
      <w:r>
        <w:t xml:space="preserve"> and DC-based HO solutions that require simultaneous Rx/Tx. Thus, it does not seem </w:t>
      </w:r>
      <w:r>
        <w:lastRenderedPageBreak/>
        <w:t xml:space="preserve">realistic to assume that the restrictions for simultaneous Rx/Tx related to intra-frequency </w:t>
      </w:r>
      <w:r w:rsidR="00540402">
        <w:t>MBB</w:t>
      </w:r>
      <w:r>
        <w:t xml:space="preserve"> and DC-based HO will be less strict than those applicable for multi-TRP transmission</w:t>
      </w:r>
      <w:r w:rsidR="002E0E52">
        <w:t>.</w:t>
      </w:r>
      <w:r w:rsidR="00BA7386">
        <w:t xml:space="preserve"> Thus,</w:t>
      </w:r>
    </w:p>
    <w:p w14:paraId="79087C9D" w14:textId="5A435F0D" w:rsidR="00BA7386" w:rsidRPr="00A471E3" w:rsidRDefault="009E55CE" w:rsidP="00BA7386">
      <w:pPr>
        <w:pStyle w:val="Observation"/>
      </w:pPr>
      <w:bookmarkStart w:id="6" w:name="_Toc4783264"/>
      <w:r>
        <w:t>S</w:t>
      </w:r>
      <w:r w:rsidR="00BA7386">
        <w:t xml:space="preserve">imultaneous Rx/Tx for intra-frequency </w:t>
      </w:r>
      <w:r w:rsidR="00540402">
        <w:t>MBB</w:t>
      </w:r>
      <w:r w:rsidR="00BA7386">
        <w:t xml:space="preserve"> and DC-based HO are </w:t>
      </w:r>
      <w:r>
        <w:t>associated with restrictions in network deployment.</w:t>
      </w:r>
      <w:bookmarkEnd w:id="6"/>
    </w:p>
    <w:p w14:paraId="5D5F0276" w14:textId="610C7EE7" w:rsidR="00AD31D6" w:rsidRDefault="009E55CE" w:rsidP="009E55CE">
      <w:pPr>
        <w:pStyle w:val="BodyText"/>
      </w:pPr>
      <w:r>
        <w:t>So far, the multi-TRP discussion has been limited to a few channels, and FR2 has been discussed to a very small extent. However, it is foreseen that more channels will be discussed before the completion of the WI. There seems to be little reason to discuss intra-frequency simultaneous Rx/Tx in the mobility WI in RAN1: the conclusions from the multi-TRP can be used as is:</w:t>
      </w:r>
    </w:p>
    <w:p w14:paraId="376D4720" w14:textId="232E66CF" w:rsidR="009E55CE" w:rsidRDefault="00A300D8" w:rsidP="009E55CE">
      <w:pPr>
        <w:pStyle w:val="Proposal"/>
      </w:pPr>
      <w:bookmarkStart w:id="7" w:name="_Toc4783267"/>
      <w:r>
        <w:t xml:space="preserve">Reuse the agreements on the </w:t>
      </w:r>
      <w:r w:rsidR="009E55CE">
        <w:t xml:space="preserve">possibilities for </w:t>
      </w:r>
      <w:r w:rsidR="000E30DA">
        <w:t xml:space="preserve">simultaneous Rx/Tx </w:t>
      </w:r>
      <w:r>
        <w:t xml:space="preserve">from the multiple PDCCH for multi-TRP </w:t>
      </w:r>
      <w:r w:rsidR="000E30DA">
        <w:t xml:space="preserve">for intra-frequency </w:t>
      </w:r>
      <w:r w:rsidR="00540402">
        <w:t>MBB</w:t>
      </w:r>
      <w:r w:rsidR="000E30DA">
        <w:t xml:space="preserve"> and DC-based HO.</w:t>
      </w:r>
      <w:bookmarkEnd w:id="7"/>
    </w:p>
    <w:p w14:paraId="72B246B2" w14:textId="743AAAE1" w:rsidR="00AD31D6" w:rsidRDefault="000F0F53" w:rsidP="000F0F53">
      <w:pPr>
        <w:pStyle w:val="BodyText"/>
      </w:pPr>
      <w:r>
        <w:t xml:space="preserve">For cases not applicable to the multi-TRP discussion, i.e., inter-frequency or even inter-band, </w:t>
      </w:r>
      <w:r w:rsidR="00C97D4A">
        <w:t xml:space="preserve">further studies may be needed, but </w:t>
      </w:r>
      <w:r w:rsidR="0024528B">
        <w:t xml:space="preserve">based on the information in </w:t>
      </w:r>
      <w:r w:rsidR="0024528B">
        <w:fldChar w:fldCharType="begin"/>
      </w:r>
      <w:r w:rsidR="0024528B">
        <w:instrText xml:space="preserve"> REF _Ref4398393 \r \h </w:instrText>
      </w:r>
      <w:r w:rsidR="0024528B">
        <w:fldChar w:fldCharType="separate"/>
      </w:r>
      <w:r w:rsidR="00401E56">
        <w:t>[4]</w:t>
      </w:r>
      <w:r w:rsidR="0024528B">
        <w:fldChar w:fldCharType="end"/>
      </w:r>
      <w:r w:rsidR="0024528B">
        <w:fldChar w:fldCharType="begin"/>
      </w:r>
      <w:r w:rsidR="0024528B">
        <w:instrText xml:space="preserve"> REF _Ref4407715 \r \h </w:instrText>
      </w:r>
      <w:r w:rsidR="0024528B">
        <w:fldChar w:fldCharType="separate"/>
      </w:r>
      <w:r w:rsidR="00401E56">
        <w:t>[5]</w:t>
      </w:r>
      <w:r w:rsidR="0024528B">
        <w:fldChar w:fldCharType="end"/>
      </w:r>
      <w:r w:rsidR="0024528B">
        <w:fldChar w:fldCharType="begin"/>
      </w:r>
      <w:r w:rsidR="0024528B">
        <w:instrText xml:space="preserve"> REF _Ref4408250 \r \h </w:instrText>
      </w:r>
      <w:r w:rsidR="0024528B">
        <w:fldChar w:fldCharType="separate"/>
      </w:r>
      <w:r w:rsidR="00401E56">
        <w:t>[6]</w:t>
      </w:r>
      <w:r w:rsidR="0024528B">
        <w:fldChar w:fldCharType="end"/>
      </w:r>
      <w:r w:rsidR="0024528B">
        <w:t xml:space="preserve">, </w:t>
      </w:r>
      <w:r w:rsidR="00C97D4A">
        <w:t xml:space="preserve">it seems premature to state that simultaneous Rx/Tx is possible in the majority of cases. </w:t>
      </w:r>
    </w:p>
    <w:p w14:paraId="3EC9EACC" w14:textId="110FD8C5" w:rsidR="00AD31D6" w:rsidRDefault="0024528B" w:rsidP="0024528B">
      <w:pPr>
        <w:pStyle w:val="BodyText"/>
      </w:pPr>
      <w:r>
        <w:t xml:space="preserve">The feasibility of simultaneous PDCCH monitoring from multiple cells will also be considered in the </w:t>
      </w:r>
      <w:proofErr w:type="spellStart"/>
      <w:r>
        <w:t>eMIMO</w:t>
      </w:r>
      <w:proofErr w:type="spellEnd"/>
      <w:r>
        <w:t xml:space="preserve"> work. Here we propose that the mobility work will reuse the conclusions from the </w:t>
      </w:r>
      <w:proofErr w:type="spellStart"/>
      <w:r>
        <w:t>eMIMO</w:t>
      </w:r>
      <w:proofErr w:type="spellEnd"/>
      <w:r>
        <w:t xml:space="preserve"> WID for the intra-frequency case:</w:t>
      </w:r>
    </w:p>
    <w:p w14:paraId="3ED983A2" w14:textId="73DAD815" w:rsidR="0024528B" w:rsidRDefault="0024528B" w:rsidP="0B04FF57">
      <w:pPr>
        <w:pStyle w:val="Proposal"/>
      </w:pPr>
      <w:bookmarkStart w:id="8" w:name="_Toc4783268"/>
      <w:r>
        <w:t xml:space="preserve">The possibilities for simultaneous monitoring of for intra-frequency </w:t>
      </w:r>
      <w:r w:rsidR="00540402">
        <w:t>MBB</w:t>
      </w:r>
      <w:r>
        <w:t xml:space="preserve"> and DC-based HO are the same as those agreed for the multiple PDCCH solution for multi-TRP.</w:t>
      </w:r>
      <w:bookmarkEnd w:id="8"/>
    </w:p>
    <w:p w14:paraId="7F553580" w14:textId="17F8DE92" w:rsidR="0024528B" w:rsidRDefault="0024528B" w:rsidP="0024528B">
      <w:pPr>
        <w:pStyle w:val="BodyText"/>
      </w:pPr>
      <w:r>
        <w:t xml:space="preserve">There is thus no need to discuss </w:t>
      </w:r>
      <w:r w:rsidR="001C38B6" w:rsidRPr="001C38B6">
        <w:t>PDCCH monitoring for source and target cells</w:t>
      </w:r>
      <w:r w:rsidR="001C38B6">
        <w:t xml:space="preserve"> in the mobility WI, at least for the intra-frequency case.</w:t>
      </w:r>
    </w:p>
    <w:p w14:paraId="1DD97634" w14:textId="124DDFFD" w:rsidR="00BF7655" w:rsidRDefault="00BF7655" w:rsidP="0095491B">
      <w:pPr>
        <w:pStyle w:val="Heading2"/>
      </w:pPr>
      <w:r>
        <w:t>2.2</w:t>
      </w:r>
      <w:r>
        <w:tab/>
      </w:r>
      <w:r w:rsidR="00435261">
        <w:t>Rx/Tx b</w:t>
      </w:r>
      <w:r>
        <w:t>eam aspects</w:t>
      </w:r>
    </w:p>
    <w:p w14:paraId="50969778" w14:textId="0775D6AB" w:rsidR="00435261" w:rsidRDefault="00435261" w:rsidP="00435261">
      <w:pPr>
        <w:pStyle w:val="BodyText"/>
      </w:pPr>
      <w:r>
        <w:t>Beam aspects w</w:t>
      </w:r>
      <w:r w:rsidR="5DABA9DC">
        <w:t>ere</w:t>
      </w:r>
      <w:r>
        <w:t xml:space="preserve"> brought up for </w:t>
      </w:r>
      <w:r w:rsidR="00B87BD3">
        <w:t>discussion and</w:t>
      </w:r>
      <w:r>
        <w:t xml:space="preserve"> included in the conclusion. The beam aspect has been </w:t>
      </w:r>
      <w:proofErr w:type="gramStart"/>
      <w:r>
        <w:t>taken into account</w:t>
      </w:r>
      <w:proofErr w:type="gramEnd"/>
      <w:r>
        <w:t xml:space="preserve"> in the mobility solutions in Rel-15 by making it possible for the NW to configure the UE to aggregate data from several “beams” when estimating the cell quality in the HO algorithms. </w:t>
      </w:r>
      <w:r w:rsidR="009B560B">
        <w:t xml:space="preserve">Also, the UE may choose random access resource based on a beam measurement. </w:t>
      </w:r>
      <w:proofErr w:type="gramStart"/>
      <w:r w:rsidR="009B560B">
        <w:t>A large number of</w:t>
      </w:r>
      <w:proofErr w:type="gramEnd"/>
      <w:r w:rsidR="009B560B">
        <w:t xml:space="preserve"> beams will be present in FR2, but the functionality is applicable also in FR1.</w:t>
      </w:r>
    </w:p>
    <w:p w14:paraId="79E4036C" w14:textId="05EAC518" w:rsidR="00B87BD3" w:rsidRDefault="00B87BD3" w:rsidP="00435261">
      <w:pPr>
        <w:pStyle w:val="BodyText"/>
      </w:pPr>
      <w:r>
        <w:t xml:space="preserve">When considering an </w:t>
      </w:r>
      <w:r w:rsidR="00540402">
        <w:t>MBB</w:t>
      </w:r>
      <w:r>
        <w:t xml:space="preserve"> or DC-based HO solution, </w:t>
      </w:r>
      <w:r w:rsidR="008664A1">
        <w:t xml:space="preserve">beam aspects need to be </w:t>
      </w:r>
      <w:proofErr w:type="gramStart"/>
      <w:r w:rsidR="008664A1">
        <w:t>taken into account</w:t>
      </w:r>
      <w:proofErr w:type="gramEnd"/>
      <w:r w:rsidR="008664A1">
        <w:t xml:space="preserve"> also. However, it is not fully clear what is meant by beam aspects. </w:t>
      </w:r>
      <w:r w:rsidR="009B560B">
        <w:t>There is for sure the aspect that if any of the individual links is relying on beams to maintain communication, these beams must be maintained. In this context, we make the interpretation that beam operation implies FR2 operation: although the UE may use beams also in FR1, the beam-based operation will have no impact on the system as the UE is still capable of omni-directional reception in FR1.</w:t>
      </w:r>
    </w:p>
    <w:p w14:paraId="0983B1C3" w14:textId="4E588D2A" w:rsidR="009B560B" w:rsidRDefault="009B560B" w:rsidP="00435261">
      <w:pPr>
        <w:pStyle w:val="BodyText"/>
      </w:pPr>
      <w:r>
        <w:t xml:space="preserve">For FR2, it seems likely that the possibility for simultaneous Rx/Tx is more restricted than in FR1, as indicated by the reply LS from RAN4 </w:t>
      </w:r>
      <w:r>
        <w:fldChar w:fldCharType="begin"/>
      </w:r>
      <w:r>
        <w:instrText xml:space="preserve"> REF _Ref4408250 \r \h </w:instrText>
      </w:r>
      <w:r>
        <w:fldChar w:fldCharType="separate"/>
      </w:r>
      <w:r w:rsidR="00401E56">
        <w:t>[6]</w:t>
      </w:r>
      <w:r>
        <w:fldChar w:fldCharType="end"/>
      </w:r>
      <w:r>
        <w:t xml:space="preserve">: it is even stated that simultaneous Rx/Tx is not feasible. If the statements in the LS remain, </w:t>
      </w:r>
      <w:r w:rsidR="00540402">
        <w:t>MBB</w:t>
      </w:r>
      <w:r>
        <w:t xml:space="preserve"> and DC-based HO solutions are not applicable in FR2, and there </w:t>
      </w:r>
      <w:bookmarkStart w:id="9" w:name="_Hlk4413042"/>
      <w:r>
        <w:t xml:space="preserve">are no beam related aspects to </w:t>
      </w:r>
      <w:r w:rsidR="00540402">
        <w:t>MBB</w:t>
      </w:r>
      <w:r>
        <w:t xml:space="preserve"> and DC-based HO solutions</w:t>
      </w:r>
      <w:bookmarkEnd w:id="9"/>
      <w:r>
        <w:t>:</w:t>
      </w:r>
    </w:p>
    <w:p w14:paraId="55BEE5A7" w14:textId="03E4026C" w:rsidR="009B560B" w:rsidRDefault="009B560B" w:rsidP="009B560B">
      <w:pPr>
        <w:pStyle w:val="Observation"/>
      </w:pPr>
      <w:bookmarkStart w:id="10" w:name="_Toc4783265"/>
      <w:r>
        <w:t>If simultaneous Rx/Tx is not feasible in FR2, there are</w:t>
      </w:r>
      <w:r w:rsidRPr="009B560B">
        <w:t xml:space="preserve"> no beam related aspects to </w:t>
      </w:r>
      <w:r w:rsidR="00540402">
        <w:t>MBB</w:t>
      </w:r>
      <w:r w:rsidRPr="009B560B">
        <w:t xml:space="preserve"> and DC-based HO solutions</w:t>
      </w:r>
      <w:r>
        <w:t>.</w:t>
      </w:r>
      <w:bookmarkEnd w:id="10"/>
    </w:p>
    <w:p w14:paraId="06069D05" w14:textId="100412F6" w:rsidR="009B560B" w:rsidRDefault="009B560B" w:rsidP="009B560B">
      <w:pPr>
        <w:pStyle w:val="BodyText"/>
      </w:pPr>
      <w:r>
        <w:t>If on the other hand the RAN4 statement is revisited, so that simultaneous Rx/Tx is indeed feasible in FR2, there will be a need to maintain separate beam pair links between the UE and each TRP. Also</w:t>
      </w:r>
      <w:r w:rsidR="00401E56">
        <w:t>,</w:t>
      </w:r>
      <w:r>
        <w:t xml:space="preserve"> in this case, the work on multi-TRP will provide the necessary input to the mobility WID:</w:t>
      </w:r>
    </w:p>
    <w:p w14:paraId="37CFB22A" w14:textId="1F670727" w:rsidR="009B560B" w:rsidRDefault="009B560B" w:rsidP="009B560B">
      <w:pPr>
        <w:pStyle w:val="Proposal"/>
      </w:pPr>
      <w:bookmarkStart w:id="11" w:name="_Toc4783269"/>
      <w:r>
        <w:t xml:space="preserve">Beam related aspects of intra-frequency </w:t>
      </w:r>
      <w:r w:rsidR="00540402">
        <w:t>MBB</w:t>
      </w:r>
      <w:r>
        <w:t xml:space="preserve"> and DC-based HO solutions are described in the multi-TRP work, and any agreements and solutions are reused in the mobility work.</w:t>
      </w:r>
      <w:bookmarkEnd w:id="11"/>
    </w:p>
    <w:p w14:paraId="456BF452" w14:textId="271155E2" w:rsidR="001A02ED" w:rsidRDefault="009B560B" w:rsidP="009B560B">
      <w:pPr>
        <w:pStyle w:val="BodyText"/>
      </w:pPr>
      <w:r>
        <w:t xml:space="preserve">This leaves the inter-frequency versions of </w:t>
      </w:r>
      <w:r w:rsidR="00540402">
        <w:t>MBB</w:t>
      </w:r>
      <w:r>
        <w:t xml:space="preserve"> and DC-based HO. </w:t>
      </w:r>
      <w:r w:rsidR="001A02ED">
        <w:t xml:space="preserve">Here we note that </w:t>
      </w:r>
      <w:proofErr w:type="gramStart"/>
      <w:r w:rsidR="001A02ED">
        <w:t>as long as</w:t>
      </w:r>
      <w:proofErr w:type="gramEnd"/>
      <w:r w:rsidR="001A02ED">
        <w:t xml:space="preserve"> the source and target cells are in the same band, there is no difference compared to the intra-frequency case: the UE typically cannot perform independent procedures on different carriers in the same band, since the UE has a wide </w:t>
      </w:r>
      <w:proofErr w:type="spellStart"/>
      <w:r w:rsidR="001A02ED">
        <w:t>analog</w:t>
      </w:r>
      <w:proofErr w:type="spellEnd"/>
      <w:r w:rsidR="001A02ED">
        <w:t xml:space="preserve"> front-end:</w:t>
      </w:r>
    </w:p>
    <w:p w14:paraId="7EDBF223" w14:textId="4088E578" w:rsidR="001A02ED" w:rsidRDefault="001A02ED" w:rsidP="001A02ED">
      <w:pPr>
        <w:pStyle w:val="Observation"/>
      </w:pPr>
      <w:bookmarkStart w:id="12" w:name="_Toc4783266"/>
      <w:r>
        <w:t>Compared to the intra-frequency case, there are no additional beam aspects when source and target cells are on different frequencies but in the same band.</w:t>
      </w:r>
      <w:bookmarkEnd w:id="12"/>
      <w:r>
        <w:t xml:space="preserve"> </w:t>
      </w:r>
    </w:p>
    <w:p w14:paraId="6AB91827" w14:textId="06575FB5" w:rsidR="009B560B" w:rsidRPr="00435261" w:rsidRDefault="001A02ED" w:rsidP="009B560B">
      <w:pPr>
        <w:pStyle w:val="BodyText"/>
      </w:pPr>
      <w:r>
        <w:lastRenderedPageBreak/>
        <w:t xml:space="preserve">The remaining case is then the inter-frequency, inter-band case. Here </w:t>
      </w:r>
      <w:r w:rsidR="00CD04BD">
        <w:t xml:space="preserve">it becomes necessary to perform independent beam management for the source and target cells during the transition period. For the DC-based solution, this should be relatively straightforward, since the PCell and </w:t>
      </w:r>
      <w:proofErr w:type="spellStart"/>
      <w:r w:rsidR="00CD04BD">
        <w:t>PSCell</w:t>
      </w:r>
      <w:proofErr w:type="spellEnd"/>
      <w:r w:rsidR="00CD04BD">
        <w:t xml:space="preserve"> are already established entities in the UE. </w:t>
      </w:r>
      <w:r w:rsidR="00540402">
        <w:t xml:space="preserve">In the MBB solution, there is a need to establish a way to perform beam management procedures independently for the source and target. </w:t>
      </w:r>
    </w:p>
    <w:p w14:paraId="25AC9D7C" w14:textId="2F32AB2E" w:rsidR="0095491B" w:rsidRDefault="00AD31D6" w:rsidP="0095491B">
      <w:pPr>
        <w:pStyle w:val="Heading2"/>
      </w:pPr>
      <w:r>
        <w:t>2.</w:t>
      </w:r>
      <w:r w:rsidR="00BF7655">
        <w:t>3</w:t>
      </w:r>
      <w:r>
        <w:t xml:space="preserve"> </w:t>
      </w:r>
      <w:r w:rsidR="00BF7655">
        <w:tab/>
      </w:r>
      <w:r w:rsidR="0095491B">
        <w:t>Other aspects</w:t>
      </w:r>
    </w:p>
    <w:p w14:paraId="4F530699" w14:textId="461D3518" w:rsidR="0095491B" w:rsidRDefault="001C38B6" w:rsidP="001C38B6">
      <w:pPr>
        <w:pStyle w:val="BodyText"/>
      </w:pPr>
      <w:r>
        <w:t>As discussed in the previous section, it is still an open question if several links can be maintained at the same time. However, under the assumption that it is possible, the question arises how the UL power control should be handled, for PUCCH, PUSCH and SRS. As the links are to different cells, the UL PC needs to operate independently to cater for the different pathlosses.</w:t>
      </w:r>
    </w:p>
    <w:p w14:paraId="4E18EF42" w14:textId="0A3CE890" w:rsidR="001C38B6" w:rsidRDefault="001C38B6" w:rsidP="001C38B6">
      <w:pPr>
        <w:pStyle w:val="BodyText"/>
      </w:pPr>
      <w:r>
        <w:t>Fortunately, this has already been considered in the EN-DC work. Here the power control in LTE and NR runs independently, and the UE only shares the available transmit power. Here we propose to reuse the mechanism from EN-DC:</w:t>
      </w:r>
    </w:p>
    <w:p w14:paraId="1704974B" w14:textId="44DB507F" w:rsidR="001C38B6" w:rsidRDefault="001C38B6" w:rsidP="008D4B03">
      <w:pPr>
        <w:pStyle w:val="Proposal"/>
      </w:pPr>
      <w:bookmarkStart w:id="13" w:name="_Toc4783270"/>
      <w:r>
        <w:t xml:space="preserve">Reuse the EN-DC power control scheme also for </w:t>
      </w:r>
      <w:r w:rsidR="00540402">
        <w:t>MBB</w:t>
      </w:r>
      <w:r>
        <w:t>/DC-based handover.</w:t>
      </w:r>
      <w:bookmarkEnd w:id="13"/>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9B40246" w14:textId="211DD138" w:rsidR="00401E5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3260" w:history="1">
        <w:r w:rsidR="00401E56" w:rsidRPr="00030BBF">
          <w:rPr>
            <w:rStyle w:val="Hyperlink"/>
            <w:noProof/>
          </w:rPr>
          <w:t>Observation 1</w:t>
        </w:r>
        <w:r w:rsidR="00401E56">
          <w:rPr>
            <w:rFonts w:asciiTheme="minorHAnsi" w:eastAsiaTheme="minorEastAsia" w:hAnsiTheme="minorHAnsi" w:cstheme="minorBidi"/>
            <w:b w:val="0"/>
            <w:noProof/>
            <w:sz w:val="22"/>
            <w:szCs w:val="22"/>
            <w:lang w:val="sv-SE" w:eastAsia="sv-SE"/>
          </w:rPr>
          <w:tab/>
        </w:r>
        <w:r w:rsidR="00401E56" w:rsidRPr="00030BBF">
          <w:rPr>
            <w:rStyle w:val="Hyperlink"/>
            <w:noProof/>
          </w:rPr>
          <w:t>Simultaneous Rx/Tx required for intra-frequency MBB and DC-based HO is equivalent to the simultaneous Rx/Tx required for multi-TRP Rx/Tx using multiple PDCCH.</w:t>
        </w:r>
      </w:hyperlink>
    </w:p>
    <w:p w14:paraId="19C80283" w14:textId="05A54196"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1" w:history="1">
        <w:r w:rsidRPr="00030BBF">
          <w:rPr>
            <w:rStyle w:val="Hyperlink"/>
            <w:noProof/>
          </w:rPr>
          <w:t>Observation 2</w:t>
        </w:r>
        <w:r>
          <w:rPr>
            <w:rFonts w:asciiTheme="minorHAnsi" w:eastAsiaTheme="minorEastAsia" w:hAnsiTheme="minorHAnsi" w:cstheme="minorBidi"/>
            <w:b w:val="0"/>
            <w:noProof/>
            <w:sz w:val="22"/>
            <w:szCs w:val="22"/>
            <w:lang w:val="sv-SE" w:eastAsia="sv-SE"/>
          </w:rPr>
          <w:tab/>
        </w:r>
        <w:r w:rsidRPr="00030BBF">
          <w:rPr>
            <w:rStyle w:val="Hyperlink"/>
            <w:noProof/>
          </w:rPr>
          <w:t>Asynchronous intra-frequency operation has been ruled out for multi-TRP operation using multiple PDCCHs.</w:t>
        </w:r>
      </w:hyperlink>
    </w:p>
    <w:p w14:paraId="29150F38" w14:textId="1E5E9E07"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2" w:history="1">
        <w:r w:rsidRPr="00030BBF">
          <w:rPr>
            <w:rStyle w:val="Hyperlink"/>
            <w:noProof/>
          </w:rPr>
          <w:t>Observation 3</w:t>
        </w:r>
        <w:r>
          <w:rPr>
            <w:rFonts w:asciiTheme="minorHAnsi" w:eastAsiaTheme="minorEastAsia" w:hAnsiTheme="minorHAnsi" w:cstheme="minorBidi"/>
            <w:b w:val="0"/>
            <w:noProof/>
            <w:sz w:val="22"/>
            <w:szCs w:val="22"/>
            <w:lang w:val="sv-SE" w:eastAsia="sv-SE"/>
          </w:rPr>
          <w:tab/>
        </w:r>
        <w:r w:rsidRPr="00030BBF">
          <w:rPr>
            <w:rStyle w:val="Hyperlink"/>
            <w:noProof/>
          </w:rPr>
          <w:t>The scheduling of the PUCCH conveying the ACK/NACK must be coordinated across the TRPs.</w:t>
        </w:r>
      </w:hyperlink>
    </w:p>
    <w:p w14:paraId="27F59097" w14:textId="0FA7520B"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3" w:history="1">
        <w:r w:rsidRPr="00030BBF">
          <w:rPr>
            <w:rStyle w:val="Hyperlink"/>
            <w:noProof/>
          </w:rPr>
          <w:t>Observation 4</w:t>
        </w:r>
        <w:r>
          <w:rPr>
            <w:rFonts w:asciiTheme="minorHAnsi" w:eastAsiaTheme="minorEastAsia" w:hAnsiTheme="minorHAnsi" w:cstheme="minorBidi"/>
            <w:b w:val="0"/>
            <w:noProof/>
            <w:sz w:val="22"/>
            <w:szCs w:val="22"/>
            <w:lang w:val="sv-SE" w:eastAsia="sv-SE"/>
          </w:rPr>
          <w:tab/>
        </w:r>
        <w:r w:rsidRPr="00030BBF">
          <w:rPr>
            <w:rStyle w:val="Hyperlink"/>
            <w:noProof/>
          </w:rPr>
          <w:t>UE designs for multi-TRP using multiple PDCCHs will require synchronous deployments where the TRPs are coordinated to some level.</w:t>
        </w:r>
      </w:hyperlink>
    </w:p>
    <w:p w14:paraId="12B8C202" w14:textId="0F6676CA"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4" w:history="1">
        <w:r w:rsidRPr="00030BBF">
          <w:rPr>
            <w:rStyle w:val="Hyperlink"/>
            <w:noProof/>
          </w:rPr>
          <w:t>Observation 5</w:t>
        </w:r>
        <w:r>
          <w:rPr>
            <w:rFonts w:asciiTheme="minorHAnsi" w:eastAsiaTheme="minorEastAsia" w:hAnsiTheme="minorHAnsi" w:cstheme="minorBidi"/>
            <w:b w:val="0"/>
            <w:noProof/>
            <w:sz w:val="22"/>
            <w:szCs w:val="22"/>
            <w:lang w:val="sv-SE" w:eastAsia="sv-SE"/>
          </w:rPr>
          <w:tab/>
        </w:r>
        <w:r w:rsidRPr="00030BBF">
          <w:rPr>
            <w:rStyle w:val="Hyperlink"/>
            <w:noProof/>
          </w:rPr>
          <w:t>Simultaneous Rx/Tx for intra-frequency MBB and DC-based HO are associated with restrictions in network deployment.</w:t>
        </w:r>
      </w:hyperlink>
    </w:p>
    <w:p w14:paraId="54F76F56" w14:textId="21A901E8"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5" w:history="1">
        <w:r w:rsidRPr="00030BBF">
          <w:rPr>
            <w:rStyle w:val="Hyperlink"/>
            <w:noProof/>
          </w:rPr>
          <w:t>Observation 6</w:t>
        </w:r>
        <w:r>
          <w:rPr>
            <w:rFonts w:asciiTheme="minorHAnsi" w:eastAsiaTheme="minorEastAsia" w:hAnsiTheme="minorHAnsi" w:cstheme="minorBidi"/>
            <w:b w:val="0"/>
            <w:noProof/>
            <w:sz w:val="22"/>
            <w:szCs w:val="22"/>
            <w:lang w:val="sv-SE" w:eastAsia="sv-SE"/>
          </w:rPr>
          <w:tab/>
        </w:r>
        <w:r w:rsidRPr="00030BBF">
          <w:rPr>
            <w:rStyle w:val="Hyperlink"/>
            <w:noProof/>
          </w:rPr>
          <w:t>If simultaneous Rx/Tx is not feasible in FR2, there are no beam related aspects to MBB and DC-based HO solutions.</w:t>
        </w:r>
      </w:hyperlink>
    </w:p>
    <w:p w14:paraId="33772151" w14:textId="7B0216D1"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6" w:history="1">
        <w:r w:rsidRPr="00030BBF">
          <w:rPr>
            <w:rStyle w:val="Hyperlink"/>
            <w:noProof/>
          </w:rPr>
          <w:t>Observation 7</w:t>
        </w:r>
        <w:r>
          <w:rPr>
            <w:rFonts w:asciiTheme="minorHAnsi" w:eastAsiaTheme="minorEastAsia" w:hAnsiTheme="minorHAnsi" w:cstheme="minorBidi"/>
            <w:b w:val="0"/>
            <w:noProof/>
            <w:sz w:val="22"/>
            <w:szCs w:val="22"/>
            <w:lang w:val="sv-SE" w:eastAsia="sv-SE"/>
          </w:rPr>
          <w:tab/>
        </w:r>
        <w:r w:rsidRPr="00030BBF">
          <w:rPr>
            <w:rStyle w:val="Hyperlink"/>
            <w:noProof/>
          </w:rPr>
          <w:t>Compared to the intra-frequency case, there are no additional beam aspects when source and target cells are on different frequencies but in the same band.</w:t>
        </w:r>
      </w:hyperlink>
    </w:p>
    <w:p w14:paraId="638CBFAF" w14:textId="6405B314"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B12AF0B" w14:textId="43AAE208" w:rsidR="00401E5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3267" w:history="1">
        <w:r w:rsidR="00401E56" w:rsidRPr="00E87F39">
          <w:rPr>
            <w:rStyle w:val="Hyperlink"/>
            <w:noProof/>
          </w:rPr>
          <w:t>Proposal 1</w:t>
        </w:r>
        <w:r w:rsidR="00401E56">
          <w:rPr>
            <w:rFonts w:asciiTheme="minorHAnsi" w:eastAsiaTheme="minorEastAsia" w:hAnsiTheme="minorHAnsi" w:cstheme="minorBidi"/>
            <w:b w:val="0"/>
            <w:noProof/>
            <w:sz w:val="22"/>
            <w:szCs w:val="22"/>
            <w:lang w:val="sv-SE" w:eastAsia="sv-SE"/>
          </w:rPr>
          <w:tab/>
        </w:r>
        <w:r w:rsidR="00401E56" w:rsidRPr="00E87F39">
          <w:rPr>
            <w:rStyle w:val="Hyperlink"/>
            <w:noProof/>
          </w:rPr>
          <w:t>Reuse the agreements on the possibilities for simultaneous Rx/Tx from the multiple PDCCH for multi-TRP for intra-frequency MBB and DC-based HO.</w:t>
        </w:r>
      </w:hyperlink>
    </w:p>
    <w:p w14:paraId="66D1E295" w14:textId="6AE67804"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8" w:history="1">
        <w:r w:rsidRPr="00E87F39">
          <w:rPr>
            <w:rStyle w:val="Hyperlink"/>
            <w:noProof/>
          </w:rPr>
          <w:t>Proposal 2</w:t>
        </w:r>
        <w:r>
          <w:rPr>
            <w:rFonts w:asciiTheme="minorHAnsi" w:eastAsiaTheme="minorEastAsia" w:hAnsiTheme="minorHAnsi" w:cstheme="minorBidi"/>
            <w:b w:val="0"/>
            <w:noProof/>
            <w:sz w:val="22"/>
            <w:szCs w:val="22"/>
            <w:lang w:val="sv-SE" w:eastAsia="sv-SE"/>
          </w:rPr>
          <w:tab/>
        </w:r>
        <w:r w:rsidRPr="00E87F39">
          <w:rPr>
            <w:rStyle w:val="Hyperlink"/>
            <w:noProof/>
          </w:rPr>
          <w:t>The possibilities for simultaneous monitoring of for intra-frequency MBB and DC-based HO are the same as those agreed for the multiple PDCCH solution for multi-TRP.</w:t>
        </w:r>
      </w:hyperlink>
    </w:p>
    <w:p w14:paraId="1CEE4C34" w14:textId="0FBDBE33"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69" w:history="1">
        <w:r w:rsidRPr="00E87F39">
          <w:rPr>
            <w:rStyle w:val="Hyperlink"/>
            <w:noProof/>
          </w:rPr>
          <w:t>Proposal 3</w:t>
        </w:r>
        <w:r>
          <w:rPr>
            <w:rFonts w:asciiTheme="minorHAnsi" w:eastAsiaTheme="minorEastAsia" w:hAnsiTheme="minorHAnsi" w:cstheme="minorBidi"/>
            <w:b w:val="0"/>
            <w:noProof/>
            <w:sz w:val="22"/>
            <w:szCs w:val="22"/>
            <w:lang w:val="sv-SE" w:eastAsia="sv-SE"/>
          </w:rPr>
          <w:tab/>
        </w:r>
        <w:r w:rsidRPr="00E87F39">
          <w:rPr>
            <w:rStyle w:val="Hyperlink"/>
            <w:noProof/>
          </w:rPr>
          <w:t>Beam related aspects of intra-frequency MBB and DC-based HO solutions are described in the multi-TRP work, and any agreements and solutions are reused in the mobility work.</w:t>
        </w:r>
      </w:hyperlink>
    </w:p>
    <w:p w14:paraId="7CEE2F6B" w14:textId="2BC3A6E3" w:rsidR="00401E56" w:rsidRDefault="00401E5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3270" w:history="1">
        <w:r w:rsidRPr="00E87F39">
          <w:rPr>
            <w:rStyle w:val="Hyperlink"/>
            <w:noProof/>
          </w:rPr>
          <w:t>Proposal 4</w:t>
        </w:r>
        <w:r>
          <w:rPr>
            <w:rFonts w:asciiTheme="minorHAnsi" w:eastAsiaTheme="minorEastAsia" w:hAnsiTheme="minorHAnsi" w:cstheme="minorBidi"/>
            <w:b w:val="0"/>
            <w:noProof/>
            <w:sz w:val="22"/>
            <w:szCs w:val="22"/>
            <w:lang w:val="sv-SE" w:eastAsia="sv-SE"/>
          </w:rPr>
          <w:tab/>
        </w:r>
        <w:r w:rsidRPr="00E87F39">
          <w:rPr>
            <w:rStyle w:val="Hyperlink"/>
            <w:noProof/>
          </w:rPr>
          <w:t>Reuse the EN-DC power control scheme also for MBB/DC-based handover.</w:t>
        </w:r>
      </w:hyperlink>
    </w:p>
    <w:p w14:paraId="4CE1F56F" w14:textId="00B06B58"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bookmarkStart w:id="14" w:name="_GoBack"/>
      <w:bookmarkEnd w:id="14"/>
    </w:p>
    <w:p w14:paraId="2E9054E1" w14:textId="77777777" w:rsidR="00F507D1" w:rsidRPr="00CE0424" w:rsidRDefault="00F507D1" w:rsidP="00CE0424">
      <w:pPr>
        <w:pStyle w:val="Heading1"/>
      </w:pPr>
      <w:bookmarkStart w:id="15" w:name="_In-sequence_SDU_delivery"/>
      <w:bookmarkEnd w:id="15"/>
      <w:r w:rsidRPr="00CE0424">
        <w:lastRenderedPageBreak/>
        <w:t>References</w:t>
      </w:r>
    </w:p>
    <w:p w14:paraId="0B2A1EF6" w14:textId="77777777" w:rsidR="005B1279" w:rsidRPr="00CE0424" w:rsidRDefault="005B1279" w:rsidP="005B1279">
      <w:pPr>
        <w:pStyle w:val="Reference"/>
      </w:pPr>
      <w:bookmarkStart w:id="16" w:name="_Ref525828275"/>
      <w:bookmarkStart w:id="17" w:name="_Ref4414702"/>
      <w:bookmarkStart w:id="18" w:name="_Ref174151459"/>
      <w:bookmarkStart w:id="19" w:name="_Ref189809556"/>
      <w:r w:rsidRPr="00DC19B3">
        <w:t>RP-181433</w:t>
      </w:r>
      <w:r>
        <w:t xml:space="preserve">, </w:t>
      </w:r>
      <w:r w:rsidRPr="00DC19B3">
        <w:t>New WID: NR mobility enhancements</w:t>
      </w:r>
      <w:r>
        <w:t>, Intel, RAN#80, La Jolla, May 2018</w:t>
      </w:r>
      <w:bookmarkEnd w:id="16"/>
    </w:p>
    <w:p w14:paraId="7367720B" w14:textId="5DC32559" w:rsidR="00EA1409" w:rsidRDefault="00E37295" w:rsidP="00EA1409">
      <w:pPr>
        <w:pStyle w:val="Reference"/>
      </w:pPr>
      <w:bookmarkStart w:id="20" w:name="_Ref4414748"/>
      <w:r w:rsidRPr="00E37295">
        <w:t>RP-182067</w:t>
      </w:r>
      <w:r>
        <w:t xml:space="preserve">, </w:t>
      </w:r>
      <w:r w:rsidRPr="00E37295">
        <w:t>Revised WID: Enhancements on MIMO for NR</w:t>
      </w:r>
      <w:r>
        <w:t>, Samsung, RAN#81, Gold Coast, September 2018</w:t>
      </w:r>
      <w:bookmarkEnd w:id="17"/>
      <w:bookmarkEnd w:id="20"/>
    </w:p>
    <w:p w14:paraId="227CA140" w14:textId="08A2E942" w:rsidR="00032879" w:rsidRDefault="00032879" w:rsidP="00EA1409">
      <w:pPr>
        <w:pStyle w:val="Reference"/>
      </w:pPr>
      <w:bookmarkStart w:id="21" w:name="_Ref4759557"/>
      <w:r>
        <w:t xml:space="preserve">R2-1903511, </w:t>
      </w:r>
      <w:r w:rsidRPr="00032879">
        <w:t>Comparison of MBB and DC based handover</w:t>
      </w:r>
      <w:r>
        <w:t>, Ericsson, RAN2#105bis, Xi’an, April 2019</w:t>
      </w:r>
      <w:bookmarkEnd w:id="21"/>
    </w:p>
    <w:p w14:paraId="1A264E28" w14:textId="116218E5" w:rsidR="00EA1409" w:rsidRDefault="000720D0" w:rsidP="00311702">
      <w:pPr>
        <w:pStyle w:val="Reference"/>
      </w:pPr>
      <w:bookmarkStart w:id="22" w:name="_Ref4398393"/>
      <w:r w:rsidRPr="000720D0">
        <w:t>R1-1814411</w:t>
      </w:r>
      <w:r>
        <w:t xml:space="preserve">, </w:t>
      </w:r>
      <w:r w:rsidRPr="000720D0">
        <w:t>Reply LS on the Interruption time during mobility in LTE</w:t>
      </w:r>
      <w:r>
        <w:t xml:space="preserve">, </w:t>
      </w:r>
      <w:r w:rsidR="000F0F53">
        <w:t xml:space="preserve">RAN1, </w:t>
      </w:r>
      <w:r>
        <w:t>RAN1 #95, Spokane, November 2018</w:t>
      </w:r>
      <w:bookmarkEnd w:id="22"/>
    </w:p>
    <w:p w14:paraId="19AB4036" w14:textId="781531E5" w:rsidR="00544BFC" w:rsidRDefault="00544BFC" w:rsidP="00311702">
      <w:pPr>
        <w:pStyle w:val="Reference"/>
      </w:pPr>
      <w:bookmarkStart w:id="23" w:name="_Ref4407715"/>
      <w:r>
        <w:t>R4-1</w:t>
      </w:r>
      <w:r w:rsidR="000F0F53">
        <w:t xml:space="preserve">902030, </w:t>
      </w:r>
      <w:r w:rsidR="000F0F53" w:rsidRPr="000F0F53">
        <w:t>Reply LS on the interruption time during mobility in LTE</w:t>
      </w:r>
      <w:r w:rsidR="000F0F53">
        <w:t>, RAN4, RAN4 #90, Athens, March 2019</w:t>
      </w:r>
      <w:bookmarkEnd w:id="23"/>
    </w:p>
    <w:p w14:paraId="6028121B" w14:textId="7A8BAE2C" w:rsidR="000F0F53" w:rsidRPr="00CE0424" w:rsidRDefault="000F0F53" w:rsidP="00311702">
      <w:pPr>
        <w:pStyle w:val="Reference"/>
      </w:pPr>
      <w:bookmarkStart w:id="24" w:name="_Ref4408250"/>
      <w:r>
        <w:t xml:space="preserve">R4-1706913, </w:t>
      </w:r>
      <w:r>
        <w:rPr>
          <w:rFonts w:cs="Arial"/>
        </w:rPr>
        <w:t>Reply LS on the feasibility of DC-related mobility enhancements in NR, RAN4, RAN4 AdHoc#2, Qingdao, June 2017</w:t>
      </w:r>
      <w:bookmarkEnd w:id="24"/>
    </w:p>
    <w:bookmarkEnd w:id="18"/>
    <w:bookmarkEnd w:id="19"/>
    <w:p w14:paraId="0EC95EF5" w14:textId="77777777" w:rsidR="003A7EF3" w:rsidRPr="00CE0424" w:rsidRDefault="003A7EF3" w:rsidP="00CE0424">
      <w:pPr>
        <w:pStyle w:val="BodyText"/>
      </w:pPr>
    </w:p>
    <w:sectPr w:rsidR="003A7EF3" w:rsidRPr="00CE0424" w:rsidSect="00081919">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0E453" w14:textId="77777777" w:rsidR="00C52C04" w:rsidRDefault="00C52C04">
      <w:r>
        <w:separator/>
      </w:r>
    </w:p>
  </w:endnote>
  <w:endnote w:type="continuationSeparator" w:id="0">
    <w:p w14:paraId="4B36DBE3" w14:textId="77777777" w:rsidR="00C52C04" w:rsidRDefault="00C5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9B560B" w:rsidRDefault="009B56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B9D30" w14:textId="77777777" w:rsidR="00C52C04" w:rsidRDefault="00C52C04">
      <w:r>
        <w:separator/>
      </w:r>
    </w:p>
  </w:footnote>
  <w:footnote w:type="continuationSeparator" w:id="0">
    <w:p w14:paraId="48069C70" w14:textId="77777777" w:rsidR="00C52C04" w:rsidRDefault="00C52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9B560B" w:rsidRDefault="009B56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95E0E"/>
    <w:multiLevelType w:val="hybridMultilevel"/>
    <w:tmpl w:val="F92238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C9730A"/>
    <w:multiLevelType w:val="hybridMultilevel"/>
    <w:tmpl w:val="3FE83C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000A98"/>
    <w:multiLevelType w:val="hybridMultilevel"/>
    <w:tmpl w:val="424EF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8"/>
  </w:num>
  <w:num w:numId="19">
    <w:abstractNumId w:val="4"/>
  </w:num>
  <w:num w:numId="20">
    <w:abstractNumId w:val="26"/>
  </w:num>
  <w:num w:numId="21">
    <w:abstractNumId w:val="12"/>
  </w:num>
  <w:num w:numId="22">
    <w:abstractNumId w:val="25"/>
  </w:num>
  <w:num w:numId="23">
    <w:abstractNumId w:val="5"/>
  </w:num>
  <w:num w:numId="24">
    <w:abstractNumId w:val="23"/>
  </w:num>
  <w:num w:numId="25">
    <w:abstractNumId w:val="7"/>
  </w:num>
  <w:num w:numId="26">
    <w:abstractNumId w:val="27"/>
  </w:num>
  <w:num w:numId="27">
    <w:abstractNumId w:val="22"/>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2879"/>
    <w:rsid w:val="00034C15"/>
    <w:rsid w:val="00036BA1"/>
    <w:rsid w:val="000422E2"/>
    <w:rsid w:val="00042F22"/>
    <w:rsid w:val="000444EF"/>
    <w:rsid w:val="00044F46"/>
    <w:rsid w:val="00052A07"/>
    <w:rsid w:val="000534E3"/>
    <w:rsid w:val="0005606A"/>
    <w:rsid w:val="00057117"/>
    <w:rsid w:val="000616E7"/>
    <w:rsid w:val="000622DD"/>
    <w:rsid w:val="0006487E"/>
    <w:rsid w:val="00065E1A"/>
    <w:rsid w:val="000720D0"/>
    <w:rsid w:val="00077E5F"/>
    <w:rsid w:val="0008036A"/>
    <w:rsid w:val="00081919"/>
    <w:rsid w:val="00081AE6"/>
    <w:rsid w:val="00083F7C"/>
    <w:rsid w:val="000855EB"/>
    <w:rsid w:val="00085B52"/>
    <w:rsid w:val="000866F2"/>
    <w:rsid w:val="0009009F"/>
    <w:rsid w:val="00091557"/>
    <w:rsid w:val="000924C1"/>
    <w:rsid w:val="000924F0"/>
    <w:rsid w:val="00093474"/>
    <w:rsid w:val="0009510F"/>
    <w:rsid w:val="00096126"/>
    <w:rsid w:val="000A1B7B"/>
    <w:rsid w:val="000A56F2"/>
    <w:rsid w:val="000A64BD"/>
    <w:rsid w:val="000B2719"/>
    <w:rsid w:val="000B3A8F"/>
    <w:rsid w:val="000B4AB9"/>
    <w:rsid w:val="000B58C3"/>
    <w:rsid w:val="000B61E9"/>
    <w:rsid w:val="000C165A"/>
    <w:rsid w:val="000C2E19"/>
    <w:rsid w:val="000D0D07"/>
    <w:rsid w:val="000D4797"/>
    <w:rsid w:val="000E0307"/>
    <w:rsid w:val="000E0527"/>
    <w:rsid w:val="000E1E92"/>
    <w:rsid w:val="000E30DA"/>
    <w:rsid w:val="000F06D6"/>
    <w:rsid w:val="000F0EB1"/>
    <w:rsid w:val="000F0F53"/>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51E23"/>
    <w:rsid w:val="001526E0"/>
    <w:rsid w:val="001551B5"/>
    <w:rsid w:val="001659C1"/>
    <w:rsid w:val="00173A8E"/>
    <w:rsid w:val="0017502C"/>
    <w:rsid w:val="0018143F"/>
    <w:rsid w:val="00181FF8"/>
    <w:rsid w:val="00190AC1"/>
    <w:rsid w:val="0019341A"/>
    <w:rsid w:val="00197DF9"/>
    <w:rsid w:val="001A02ED"/>
    <w:rsid w:val="001A1987"/>
    <w:rsid w:val="001A2564"/>
    <w:rsid w:val="001A6173"/>
    <w:rsid w:val="001A6CBA"/>
    <w:rsid w:val="001B0D97"/>
    <w:rsid w:val="001B1523"/>
    <w:rsid w:val="001B5A5D"/>
    <w:rsid w:val="001C1CE5"/>
    <w:rsid w:val="001C38B6"/>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1C62"/>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28B"/>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1D4"/>
    <w:rsid w:val="002907B5"/>
    <w:rsid w:val="00292EB7"/>
    <w:rsid w:val="00296227"/>
    <w:rsid w:val="00296F44"/>
    <w:rsid w:val="0029777D"/>
    <w:rsid w:val="002A055E"/>
    <w:rsid w:val="002A1D4E"/>
    <w:rsid w:val="002A2869"/>
    <w:rsid w:val="002B24D6"/>
    <w:rsid w:val="002C41E6"/>
    <w:rsid w:val="002D071A"/>
    <w:rsid w:val="002D34B2"/>
    <w:rsid w:val="002D4314"/>
    <w:rsid w:val="002D48B0"/>
    <w:rsid w:val="002D5B37"/>
    <w:rsid w:val="002D7637"/>
    <w:rsid w:val="002E0E52"/>
    <w:rsid w:val="002E17F2"/>
    <w:rsid w:val="002E7CAE"/>
    <w:rsid w:val="002F2771"/>
    <w:rsid w:val="002F37A9"/>
    <w:rsid w:val="00301CE6"/>
    <w:rsid w:val="0030256B"/>
    <w:rsid w:val="0030501F"/>
    <w:rsid w:val="00305B95"/>
    <w:rsid w:val="00307BA1"/>
    <w:rsid w:val="00311702"/>
    <w:rsid w:val="00311E82"/>
    <w:rsid w:val="00313FD6"/>
    <w:rsid w:val="003143BD"/>
    <w:rsid w:val="00315363"/>
    <w:rsid w:val="003203ED"/>
    <w:rsid w:val="00322C9F"/>
    <w:rsid w:val="00324D23"/>
    <w:rsid w:val="00331751"/>
    <w:rsid w:val="00334579"/>
    <w:rsid w:val="00335858"/>
    <w:rsid w:val="00336BDA"/>
    <w:rsid w:val="00336FB8"/>
    <w:rsid w:val="00342BD7"/>
    <w:rsid w:val="00346DB5"/>
    <w:rsid w:val="003477B1"/>
    <w:rsid w:val="00357380"/>
    <w:rsid w:val="003602D9"/>
    <w:rsid w:val="003604CE"/>
    <w:rsid w:val="0036705B"/>
    <w:rsid w:val="00370E47"/>
    <w:rsid w:val="003742AC"/>
    <w:rsid w:val="00377CE1"/>
    <w:rsid w:val="00385BF0"/>
    <w:rsid w:val="003939FF"/>
    <w:rsid w:val="003A2223"/>
    <w:rsid w:val="003A2A0F"/>
    <w:rsid w:val="003A45A1"/>
    <w:rsid w:val="003A5B0A"/>
    <w:rsid w:val="003A6BAC"/>
    <w:rsid w:val="003A70A4"/>
    <w:rsid w:val="003A7EF3"/>
    <w:rsid w:val="003B159C"/>
    <w:rsid w:val="003B167A"/>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CF2"/>
    <w:rsid w:val="003F6BBE"/>
    <w:rsid w:val="004000E8"/>
    <w:rsid w:val="00401E5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261"/>
    <w:rsid w:val="00437447"/>
    <w:rsid w:val="00441A92"/>
    <w:rsid w:val="004431DC"/>
    <w:rsid w:val="00444F56"/>
    <w:rsid w:val="00446488"/>
    <w:rsid w:val="004517AA"/>
    <w:rsid w:val="00452CAC"/>
    <w:rsid w:val="00457565"/>
    <w:rsid w:val="00457B71"/>
    <w:rsid w:val="004635A5"/>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C85"/>
    <w:rsid w:val="005108D8"/>
    <w:rsid w:val="005116F9"/>
    <w:rsid w:val="005153A7"/>
    <w:rsid w:val="005219CF"/>
    <w:rsid w:val="00534B59"/>
    <w:rsid w:val="00536759"/>
    <w:rsid w:val="00537C62"/>
    <w:rsid w:val="00540402"/>
    <w:rsid w:val="005434E8"/>
    <w:rsid w:val="00544BFC"/>
    <w:rsid w:val="00546970"/>
    <w:rsid w:val="00547F03"/>
    <w:rsid w:val="00554E19"/>
    <w:rsid w:val="0056121F"/>
    <w:rsid w:val="00566BC9"/>
    <w:rsid w:val="00572505"/>
    <w:rsid w:val="00582809"/>
    <w:rsid w:val="0058798C"/>
    <w:rsid w:val="005900FA"/>
    <w:rsid w:val="005935A4"/>
    <w:rsid w:val="005948C2"/>
    <w:rsid w:val="00595DCA"/>
    <w:rsid w:val="0059779B"/>
    <w:rsid w:val="005A209A"/>
    <w:rsid w:val="005A662D"/>
    <w:rsid w:val="005B1279"/>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D2B"/>
    <w:rsid w:val="00630001"/>
    <w:rsid w:val="006311B3"/>
    <w:rsid w:val="0063284C"/>
    <w:rsid w:val="0063318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40CC"/>
    <w:rsid w:val="00695FC2"/>
    <w:rsid w:val="00696949"/>
    <w:rsid w:val="00697052"/>
    <w:rsid w:val="006A46FB"/>
    <w:rsid w:val="006A5E28"/>
    <w:rsid w:val="006A697B"/>
    <w:rsid w:val="006A7AFF"/>
    <w:rsid w:val="006B0D66"/>
    <w:rsid w:val="006B1816"/>
    <w:rsid w:val="006B2099"/>
    <w:rsid w:val="006B50CF"/>
    <w:rsid w:val="006C03B8"/>
    <w:rsid w:val="006C1D8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AC4"/>
    <w:rsid w:val="00706101"/>
    <w:rsid w:val="00707072"/>
    <w:rsid w:val="00707D61"/>
    <w:rsid w:val="00712287"/>
    <w:rsid w:val="00712772"/>
    <w:rsid w:val="007148D3"/>
    <w:rsid w:val="00715B9A"/>
    <w:rsid w:val="0071625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0A2"/>
    <w:rsid w:val="00765281"/>
    <w:rsid w:val="00766BAD"/>
    <w:rsid w:val="007729A2"/>
    <w:rsid w:val="007755F2"/>
    <w:rsid w:val="00776971"/>
    <w:rsid w:val="00780A80"/>
    <w:rsid w:val="0078177E"/>
    <w:rsid w:val="0078304C"/>
    <w:rsid w:val="00783673"/>
    <w:rsid w:val="0078517A"/>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4A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B03"/>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6C8D"/>
    <w:rsid w:val="00947713"/>
    <w:rsid w:val="00950DE7"/>
    <w:rsid w:val="00953920"/>
    <w:rsid w:val="00953D47"/>
    <w:rsid w:val="0095491B"/>
    <w:rsid w:val="0095681E"/>
    <w:rsid w:val="009572D4"/>
    <w:rsid w:val="00961921"/>
    <w:rsid w:val="0096430A"/>
    <w:rsid w:val="0096554B"/>
    <w:rsid w:val="0096584A"/>
    <w:rsid w:val="00967BF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357"/>
    <w:rsid w:val="009B3AC2"/>
    <w:rsid w:val="009B4DF4"/>
    <w:rsid w:val="009B560B"/>
    <w:rsid w:val="009B564E"/>
    <w:rsid w:val="009B7E87"/>
    <w:rsid w:val="009C0169"/>
    <w:rsid w:val="009C403E"/>
    <w:rsid w:val="009D4FF0"/>
    <w:rsid w:val="009D703C"/>
    <w:rsid w:val="009D718F"/>
    <w:rsid w:val="009E068F"/>
    <w:rsid w:val="009E14E0"/>
    <w:rsid w:val="009E35DB"/>
    <w:rsid w:val="009E47A3"/>
    <w:rsid w:val="009E55CE"/>
    <w:rsid w:val="009F08F3"/>
    <w:rsid w:val="009F344F"/>
    <w:rsid w:val="00A031D8"/>
    <w:rsid w:val="00A048A8"/>
    <w:rsid w:val="00A04F49"/>
    <w:rsid w:val="00A13E54"/>
    <w:rsid w:val="00A17F63"/>
    <w:rsid w:val="00A2193B"/>
    <w:rsid w:val="00A2351A"/>
    <w:rsid w:val="00A24B86"/>
    <w:rsid w:val="00A264A9"/>
    <w:rsid w:val="00A26DCF"/>
    <w:rsid w:val="00A27785"/>
    <w:rsid w:val="00A300D8"/>
    <w:rsid w:val="00A30187"/>
    <w:rsid w:val="00A3448A"/>
    <w:rsid w:val="00A36297"/>
    <w:rsid w:val="00A37AA3"/>
    <w:rsid w:val="00A41E2B"/>
    <w:rsid w:val="00A440C8"/>
    <w:rsid w:val="00A45B74"/>
    <w:rsid w:val="00A471E3"/>
    <w:rsid w:val="00A50186"/>
    <w:rsid w:val="00A52E1D"/>
    <w:rsid w:val="00A61499"/>
    <w:rsid w:val="00A62A77"/>
    <w:rsid w:val="00A63483"/>
    <w:rsid w:val="00A657D7"/>
    <w:rsid w:val="00A660AC"/>
    <w:rsid w:val="00A67E6C"/>
    <w:rsid w:val="00A71B99"/>
    <w:rsid w:val="00A739D0"/>
    <w:rsid w:val="00A761D4"/>
    <w:rsid w:val="00A77EC4"/>
    <w:rsid w:val="00A90DE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1D6"/>
    <w:rsid w:val="00AD3F94"/>
    <w:rsid w:val="00AD4A5A"/>
    <w:rsid w:val="00AE27AC"/>
    <w:rsid w:val="00AE40E0"/>
    <w:rsid w:val="00AE4DBA"/>
    <w:rsid w:val="00AE4F07"/>
    <w:rsid w:val="00AF1C5D"/>
    <w:rsid w:val="00AF42D7"/>
    <w:rsid w:val="00AF6878"/>
    <w:rsid w:val="00B006FE"/>
    <w:rsid w:val="00B007CB"/>
    <w:rsid w:val="00B02091"/>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BD3"/>
    <w:rsid w:val="00B90F73"/>
    <w:rsid w:val="00B93B59"/>
    <w:rsid w:val="00B9406A"/>
    <w:rsid w:val="00BA13C0"/>
    <w:rsid w:val="00BA1927"/>
    <w:rsid w:val="00BA2280"/>
    <w:rsid w:val="00BA2A08"/>
    <w:rsid w:val="00BA56D2"/>
    <w:rsid w:val="00BA7386"/>
    <w:rsid w:val="00BA76E0"/>
    <w:rsid w:val="00BB2A25"/>
    <w:rsid w:val="00BB51E9"/>
    <w:rsid w:val="00BC0FDC"/>
    <w:rsid w:val="00BC3053"/>
    <w:rsid w:val="00BC437B"/>
    <w:rsid w:val="00BC4D2E"/>
    <w:rsid w:val="00BD48AC"/>
    <w:rsid w:val="00BD5F1A"/>
    <w:rsid w:val="00BE1234"/>
    <w:rsid w:val="00BE2FA6"/>
    <w:rsid w:val="00BE333F"/>
    <w:rsid w:val="00BE7406"/>
    <w:rsid w:val="00BE7603"/>
    <w:rsid w:val="00BF3279"/>
    <w:rsid w:val="00BF74C7"/>
    <w:rsid w:val="00BF7655"/>
    <w:rsid w:val="00C015F1"/>
    <w:rsid w:val="00C01F33"/>
    <w:rsid w:val="00C02CC6"/>
    <w:rsid w:val="00C040F7"/>
    <w:rsid w:val="00C044AB"/>
    <w:rsid w:val="00C05706"/>
    <w:rsid w:val="00C07377"/>
    <w:rsid w:val="00C10478"/>
    <w:rsid w:val="00C12107"/>
    <w:rsid w:val="00C14D4B"/>
    <w:rsid w:val="00C154BB"/>
    <w:rsid w:val="00C22779"/>
    <w:rsid w:val="00C279B5"/>
    <w:rsid w:val="00C27C45"/>
    <w:rsid w:val="00C3719D"/>
    <w:rsid w:val="00C37CB2"/>
    <w:rsid w:val="00C473A5"/>
    <w:rsid w:val="00C52C04"/>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D4A"/>
    <w:rsid w:val="00CA1ED8"/>
    <w:rsid w:val="00CB1F63"/>
    <w:rsid w:val="00CB7170"/>
    <w:rsid w:val="00CB7EDC"/>
    <w:rsid w:val="00CC040E"/>
    <w:rsid w:val="00CC111F"/>
    <w:rsid w:val="00CC2011"/>
    <w:rsid w:val="00CC33A8"/>
    <w:rsid w:val="00CC3EA0"/>
    <w:rsid w:val="00CC7B45"/>
    <w:rsid w:val="00CD04BD"/>
    <w:rsid w:val="00CD1188"/>
    <w:rsid w:val="00CD2ED1"/>
    <w:rsid w:val="00CD337B"/>
    <w:rsid w:val="00CE0424"/>
    <w:rsid w:val="00CE7561"/>
    <w:rsid w:val="00CF1354"/>
    <w:rsid w:val="00CF191C"/>
    <w:rsid w:val="00CF3B1F"/>
    <w:rsid w:val="00CF3BF6"/>
    <w:rsid w:val="00CF625B"/>
    <w:rsid w:val="00CF687E"/>
    <w:rsid w:val="00D0349B"/>
    <w:rsid w:val="00D10249"/>
    <w:rsid w:val="00D115C3"/>
    <w:rsid w:val="00D11897"/>
    <w:rsid w:val="00D13135"/>
    <w:rsid w:val="00D13E4E"/>
    <w:rsid w:val="00D239A7"/>
    <w:rsid w:val="00D23F47"/>
    <w:rsid w:val="00D3115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25E"/>
    <w:rsid w:val="00DB377D"/>
    <w:rsid w:val="00DC2D36"/>
    <w:rsid w:val="00DC53EF"/>
    <w:rsid w:val="00DE5608"/>
    <w:rsid w:val="00DE58D0"/>
    <w:rsid w:val="00DE654F"/>
    <w:rsid w:val="00DF0B6E"/>
    <w:rsid w:val="00DF15E0"/>
    <w:rsid w:val="00DF37A0"/>
    <w:rsid w:val="00E03585"/>
    <w:rsid w:val="00E110E7"/>
    <w:rsid w:val="00E11B20"/>
    <w:rsid w:val="00E17FA2"/>
    <w:rsid w:val="00E22330"/>
    <w:rsid w:val="00E30B5A"/>
    <w:rsid w:val="00E3123D"/>
    <w:rsid w:val="00E31461"/>
    <w:rsid w:val="00E31D43"/>
    <w:rsid w:val="00E32608"/>
    <w:rsid w:val="00E34188"/>
    <w:rsid w:val="00E34B6E"/>
    <w:rsid w:val="00E35559"/>
    <w:rsid w:val="00E3723A"/>
    <w:rsid w:val="00E37295"/>
    <w:rsid w:val="00E37860"/>
    <w:rsid w:val="00E446F1"/>
    <w:rsid w:val="00E46886"/>
    <w:rsid w:val="00E47AEF"/>
    <w:rsid w:val="00E53B75"/>
    <w:rsid w:val="00E54E3B"/>
    <w:rsid w:val="00E57565"/>
    <w:rsid w:val="00E6177B"/>
    <w:rsid w:val="00E63838"/>
    <w:rsid w:val="00E64434"/>
    <w:rsid w:val="00E67C51"/>
    <w:rsid w:val="00E72EFC"/>
    <w:rsid w:val="00E758EC"/>
    <w:rsid w:val="00E80494"/>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767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E4D"/>
    <w:rsid w:val="00F67F53"/>
    <w:rsid w:val="00F703BE"/>
    <w:rsid w:val="00F71F69"/>
    <w:rsid w:val="00F728D4"/>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4A9"/>
    <w:rsid w:val="00FD47ED"/>
    <w:rsid w:val="00FD74DB"/>
    <w:rsid w:val="00FD7660"/>
    <w:rsid w:val="00FE0655"/>
    <w:rsid w:val="00FE2365"/>
    <w:rsid w:val="00FE37D7"/>
    <w:rsid w:val="00FE4C7B"/>
    <w:rsid w:val="00FE7336"/>
    <w:rsid w:val="00FE787C"/>
    <w:rsid w:val="00FF45A5"/>
    <w:rsid w:val="00FF5C91"/>
    <w:rsid w:val="013B8EDD"/>
    <w:rsid w:val="0B04FF57"/>
    <w:rsid w:val="34C186ED"/>
    <w:rsid w:val="497B6626"/>
    <w:rsid w:val="5526DDE0"/>
    <w:rsid w:val="5DABA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7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22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22779"/>
    <w:pPr>
      <w:pBdr>
        <w:top w:val="none" w:sz="0" w:space="0" w:color="auto"/>
      </w:pBdr>
      <w:spacing w:before="180"/>
      <w:outlineLvl w:val="1"/>
    </w:pPr>
    <w:rPr>
      <w:sz w:val="32"/>
    </w:rPr>
  </w:style>
  <w:style w:type="paragraph" w:styleId="Heading3">
    <w:name w:val="heading 3"/>
    <w:basedOn w:val="Heading2"/>
    <w:next w:val="Normal"/>
    <w:link w:val="Heading3Char"/>
    <w:qFormat/>
    <w:rsid w:val="00C22779"/>
    <w:pPr>
      <w:spacing w:before="120"/>
      <w:outlineLvl w:val="2"/>
    </w:pPr>
    <w:rPr>
      <w:sz w:val="28"/>
    </w:rPr>
  </w:style>
  <w:style w:type="paragraph" w:styleId="Heading4">
    <w:name w:val="heading 4"/>
    <w:basedOn w:val="Heading3"/>
    <w:next w:val="Normal"/>
    <w:link w:val="Heading4Char"/>
    <w:qFormat/>
    <w:rsid w:val="00C22779"/>
    <w:pPr>
      <w:ind w:left="1418" w:hanging="1418"/>
      <w:outlineLvl w:val="3"/>
    </w:pPr>
    <w:rPr>
      <w:sz w:val="24"/>
    </w:rPr>
  </w:style>
  <w:style w:type="paragraph" w:styleId="Heading5">
    <w:name w:val="heading 5"/>
    <w:basedOn w:val="Heading4"/>
    <w:next w:val="Normal"/>
    <w:link w:val="Heading5Char"/>
    <w:qFormat/>
    <w:rsid w:val="00C22779"/>
    <w:pPr>
      <w:ind w:left="1701" w:hanging="1701"/>
      <w:outlineLvl w:val="4"/>
    </w:pPr>
    <w:rPr>
      <w:sz w:val="22"/>
    </w:rPr>
  </w:style>
  <w:style w:type="paragraph" w:styleId="Heading6">
    <w:name w:val="heading 6"/>
    <w:basedOn w:val="H6"/>
    <w:next w:val="Normal"/>
    <w:link w:val="Heading6Char"/>
    <w:qFormat/>
    <w:rsid w:val="00C22779"/>
    <w:pPr>
      <w:outlineLvl w:val="5"/>
    </w:pPr>
  </w:style>
  <w:style w:type="paragraph" w:styleId="Heading7">
    <w:name w:val="heading 7"/>
    <w:basedOn w:val="H6"/>
    <w:next w:val="Normal"/>
    <w:link w:val="Heading7Char"/>
    <w:qFormat/>
    <w:rsid w:val="00C22779"/>
    <w:pPr>
      <w:outlineLvl w:val="6"/>
    </w:pPr>
  </w:style>
  <w:style w:type="paragraph" w:styleId="Heading8">
    <w:name w:val="heading 8"/>
    <w:basedOn w:val="Heading1"/>
    <w:next w:val="Normal"/>
    <w:link w:val="Heading8Char"/>
    <w:qFormat/>
    <w:rsid w:val="00C22779"/>
    <w:pPr>
      <w:ind w:left="0" w:firstLine="0"/>
      <w:outlineLvl w:val="7"/>
    </w:pPr>
  </w:style>
  <w:style w:type="paragraph" w:styleId="Heading9">
    <w:name w:val="heading 9"/>
    <w:basedOn w:val="Heading8"/>
    <w:next w:val="Normal"/>
    <w:link w:val="Heading9Char"/>
    <w:qFormat/>
    <w:rsid w:val="00C22779"/>
    <w:pPr>
      <w:outlineLvl w:val="8"/>
    </w:pPr>
  </w:style>
  <w:style w:type="character" w:default="1" w:styleId="DefaultParagraphFont">
    <w:name w:val="Default Paragraph Font"/>
    <w:uiPriority w:val="1"/>
    <w:semiHidden/>
    <w:unhideWhenUsed/>
    <w:rsid w:val="00C227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779"/>
  </w:style>
  <w:style w:type="paragraph" w:styleId="TOC8">
    <w:name w:val="toc 8"/>
    <w:basedOn w:val="TOC1"/>
    <w:uiPriority w:val="39"/>
    <w:rsid w:val="00C22779"/>
    <w:pPr>
      <w:spacing w:before="180"/>
      <w:ind w:left="2693" w:hanging="2693"/>
    </w:pPr>
    <w:rPr>
      <w:b/>
    </w:rPr>
  </w:style>
  <w:style w:type="paragraph" w:styleId="TOC1">
    <w:name w:val="toc 1"/>
    <w:uiPriority w:val="39"/>
    <w:rsid w:val="00C22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22779"/>
    <w:pPr>
      <w:keepNext/>
      <w:keepLines/>
      <w:spacing w:before="180"/>
      <w:jc w:val="center"/>
    </w:pPr>
  </w:style>
  <w:style w:type="paragraph" w:styleId="Caption">
    <w:name w:val="caption"/>
    <w:basedOn w:val="Normal"/>
    <w:next w:val="Normal"/>
    <w:qFormat/>
    <w:rsid w:val="00C22779"/>
    <w:pPr>
      <w:spacing w:before="120" w:after="120"/>
    </w:pPr>
    <w:rPr>
      <w:b/>
      <w:lang w:eastAsia="en-GB"/>
    </w:rPr>
  </w:style>
  <w:style w:type="paragraph" w:styleId="TOC5">
    <w:name w:val="toc 5"/>
    <w:basedOn w:val="TOC4"/>
    <w:uiPriority w:val="39"/>
    <w:rsid w:val="00C22779"/>
    <w:pPr>
      <w:ind w:left="1701" w:hanging="1701"/>
    </w:pPr>
  </w:style>
  <w:style w:type="paragraph" w:styleId="TOC4">
    <w:name w:val="toc 4"/>
    <w:basedOn w:val="TOC3"/>
    <w:uiPriority w:val="39"/>
    <w:rsid w:val="00C22779"/>
    <w:pPr>
      <w:ind w:left="1418" w:hanging="1418"/>
    </w:pPr>
  </w:style>
  <w:style w:type="paragraph" w:styleId="TOC3">
    <w:name w:val="toc 3"/>
    <w:basedOn w:val="TOC2"/>
    <w:uiPriority w:val="39"/>
    <w:rsid w:val="00C22779"/>
    <w:pPr>
      <w:ind w:left="1134" w:hanging="1134"/>
    </w:pPr>
  </w:style>
  <w:style w:type="paragraph" w:styleId="TOC2">
    <w:name w:val="toc 2"/>
    <w:basedOn w:val="TOC1"/>
    <w:uiPriority w:val="39"/>
    <w:rsid w:val="00C22779"/>
    <w:pPr>
      <w:keepNext w:val="0"/>
      <w:spacing w:before="0"/>
      <w:ind w:left="851" w:hanging="851"/>
    </w:pPr>
    <w:rPr>
      <w:sz w:val="20"/>
    </w:rPr>
  </w:style>
  <w:style w:type="paragraph" w:styleId="Index2">
    <w:name w:val="index 2"/>
    <w:basedOn w:val="Index1"/>
    <w:rsid w:val="00C22779"/>
    <w:pPr>
      <w:ind w:left="284"/>
    </w:pPr>
  </w:style>
  <w:style w:type="paragraph" w:styleId="Index1">
    <w:name w:val="index 1"/>
    <w:basedOn w:val="Normal"/>
    <w:rsid w:val="00C22779"/>
    <w:pPr>
      <w:keepLines/>
      <w:spacing w:after="0"/>
    </w:pPr>
  </w:style>
  <w:style w:type="paragraph" w:styleId="DocumentMap">
    <w:name w:val="Document Map"/>
    <w:basedOn w:val="Normal"/>
    <w:link w:val="DocumentMapChar"/>
    <w:rsid w:val="00C22779"/>
    <w:pPr>
      <w:shd w:val="clear" w:color="auto" w:fill="000080"/>
    </w:pPr>
    <w:rPr>
      <w:rFonts w:ascii="Tahoma" w:hAnsi="Tahoma" w:cs="Tahoma"/>
    </w:rPr>
  </w:style>
  <w:style w:type="paragraph" w:styleId="ListNumber2">
    <w:name w:val="List Number 2"/>
    <w:basedOn w:val="ListNumber"/>
    <w:rsid w:val="00C22779"/>
    <w:pPr>
      <w:numPr>
        <w:numId w:val="22"/>
      </w:numPr>
    </w:pPr>
  </w:style>
  <w:style w:type="paragraph" w:styleId="ListNumber">
    <w:name w:val="List Number"/>
    <w:basedOn w:val="List"/>
    <w:rsid w:val="00C22779"/>
    <w:pPr>
      <w:numPr>
        <w:numId w:val="21"/>
      </w:numPr>
    </w:pPr>
    <w:rPr>
      <w:lang w:eastAsia="ja-JP"/>
    </w:rPr>
  </w:style>
  <w:style w:type="paragraph" w:styleId="List">
    <w:name w:val="List"/>
    <w:basedOn w:val="BodyText"/>
    <w:rsid w:val="00C22779"/>
    <w:pPr>
      <w:ind w:left="568" w:hanging="284"/>
    </w:pPr>
  </w:style>
  <w:style w:type="paragraph" w:styleId="Header">
    <w:name w:val="header"/>
    <w:link w:val="HeaderChar"/>
    <w:rsid w:val="00C2277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22779"/>
    <w:rPr>
      <w:b/>
      <w:position w:val="6"/>
      <w:sz w:val="16"/>
    </w:rPr>
  </w:style>
  <w:style w:type="paragraph" w:styleId="FootnoteText">
    <w:name w:val="footnote text"/>
    <w:basedOn w:val="Normal"/>
    <w:link w:val="FootnoteTextChar"/>
    <w:rsid w:val="00C22779"/>
    <w:pPr>
      <w:keepLines/>
      <w:spacing w:after="0"/>
      <w:ind w:left="454" w:hanging="454"/>
    </w:pPr>
    <w:rPr>
      <w:sz w:val="16"/>
    </w:rPr>
  </w:style>
  <w:style w:type="paragraph" w:customStyle="1" w:styleId="3GPPHeader">
    <w:name w:val="3GPP_Header"/>
    <w:basedOn w:val="BodyText"/>
    <w:rsid w:val="00C22779"/>
    <w:pPr>
      <w:tabs>
        <w:tab w:val="left" w:pos="1701"/>
        <w:tab w:val="right" w:pos="9639"/>
      </w:tabs>
      <w:spacing w:after="240"/>
    </w:pPr>
    <w:rPr>
      <w:b/>
      <w:sz w:val="24"/>
    </w:rPr>
  </w:style>
  <w:style w:type="paragraph" w:styleId="TOC9">
    <w:name w:val="toc 9"/>
    <w:basedOn w:val="TOC8"/>
    <w:uiPriority w:val="39"/>
    <w:rsid w:val="00C22779"/>
    <w:pPr>
      <w:ind w:left="1418" w:hanging="1418"/>
    </w:pPr>
  </w:style>
  <w:style w:type="paragraph" w:styleId="TOC6">
    <w:name w:val="toc 6"/>
    <w:basedOn w:val="TOC5"/>
    <w:next w:val="Normal"/>
    <w:uiPriority w:val="39"/>
    <w:rsid w:val="00C22779"/>
    <w:pPr>
      <w:ind w:left="1985" w:hanging="1985"/>
    </w:pPr>
  </w:style>
  <w:style w:type="paragraph" w:styleId="TOC7">
    <w:name w:val="toc 7"/>
    <w:basedOn w:val="TOC6"/>
    <w:next w:val="Normal"/>
    <w:uiPriority w:val="39"/>
    <w:rsid w:val="00C22779"/>
    <w:pPr>
      <w:ind w:left="2268" w:hanging="2268"/>
    </w:pPr>
  </w:style>
  <w:style w:type="paragraph" w:styleId="ListBullet2">
    <w:name w:val="List Bullet 2"/>
    <w:basedOn w:val="ListBullet"/>
    <w:rsid w:val="00C22779"/>
    <w:pPr>
      <w:numPr>
        <w:numId w:val="17"/>
      </w:numPr>
    </w:pPr>
  </w:style>
  <w:style w:type="paragraph" w:styleId="ListBullet">
    <w:name w:val="List Bullet"/>
    <w:basedOn w:val="List"/>
    <w:rsid w:val="00C22779"/>
    <w:pPr>
      <w:numPr>
        <w:numId w:val="16"/>
      </w:numPr>
    </w:pPr>
    <w:rPr>
      <w:lang w:eastAsia="ja-JP"/>
    </w:rPr>
  </w:style>
  <w:style w:type="paragraph" w:styleId="ListBullet3">
    <w:name w:val="List Bullet 3"/>
    <w:basedOn w:val="ListBullet2"/>
    <w:rsid w:val="00C22779"/>
    <w:pPr>
      <w:numPr>
        <w:numId w:val="18"/>
      </w:numPr>
    </w:pPr>
  </w:style>
  <w:style w:type="paragraph" w:customStyle="1" w:styleId="EQ">
    <w:name w:val="EQ"/>
    <w:basedOn w:val="Normal"/>
    <w:next w:val="Normal"/>
    <w:rsid w:val="00C22779"/>
    <w:pPr>
      <w:keepLines/>
      <w:tabs>
        <w:tab w:val="center" w:pos="4536"/>
        <w:tab w:val="right" w:pos="9072"/>
      </w:tabs>
    </w:pPr>
    <w:rPr>
      <w:noProof/>
    </w:rPr>
  </w:style>
  <w:style w:type="paragraph" w:styleId="List2">
    <w:name w:val="List 2"/>
    <w:basedOn w:val="List"/>
    <w:rsid w:val="00C22779"/>
    <w:pPr>
      <w:ind w:left="851"/>
    </w:pPr>
    <w:rPr>
      <w:lang w:eastAsia="ja-JP"/>
    </w:rPr>
  </w:style>
  <w:style w:type="paragraph" w:styleId="List3">
    <w:name w:val="List 3"/>
    <w:basedOn w:val="List2"/>
    <w:rsid w:val="00C22779"/>
    <w:pPr>
      <w:ind w:left="1135"/>
    </w:pPr>
  </w:style>
  <w:style w:type="paragraph" w:styleId="List4">
    <w:name w:val="List 4"/>
    <w:basedOn w:val="List3"/>
    <w:rsid w:val="00C22779"/>
    <w:pPr>
      <w:ind w:left="1418"/>
    </w:pPr>
  </w:style>
  <w:style w:type="paragraph" w:styleId="List5">
    <w:name w:val="List 5"/>
    <w:basedOn w:val="List4"/>
    <w:rsid w:val="00C22779"/>
    <w:pPr>
      <w:ind w:left="1702"/>
    </w:pPr>
  </w:style>
  <w:style w:type="paragraph" w:customStyle="1" w:styleId="EditorsNote">
    <w:name w:val="Editor's Note"/>
    <w:basedOn w:val="NO"/>
    <w:link w:val="EditorsNoteChar"/>
    <w:rsid w:val="00C22779"/>
    <w:rPr>
      <w:color w:val="FF0000"/>
      <w:lang w:val="x-none" w:eastAsia="x-none"/>
    </w:rPr>
  </w:style>
  <w:style w:type="paragraph" w:styleId="ListBullet4">
    <w:name w:val="List Bullet 4"/>
    <w:basedOn w:val="ListBullet3"/>
    <w:rsid w:val="00C22779"/>
    <w:pPr>
      <w:numPr>
        <w:numId w:val="19"/>
      </w:numPr>
    </w:pPr>
  </w:style>
  <w:style w:type="paragraph" w:styleId="ListBullet5">
    <w:name w:val="List Bullet 5"/>
    <w:basedOn w:val="ListBullet4"/>
    <w:rsid w:val="00C22779"/>
    <w:pPr>
      <w:numPr>
        <w:numId w:val="20"/>
      </w:numPr>
    </w:pPr>
  </w:style>
  <w:style w:type="paragraph" w:styleId="Footer">
    <w:name w:val="footer"/>
    <w:basedOn w:val="Header"/>
    <w:link w:val="FooterChar"/>
    <w:rsid w:val="00C22779"/>
    <w:pPr>
      <w:jc w:val="center"/>
    </w:pPr>
    <w:rPr>
      <w:i/>
    </w:rPr>
  </w:style>
  <w:style w:type="paragraph" w:customStyle="1" w:styleId="Reference">
    <w:name w:val="Reference"/>
    <w:basedOn w:val="BodyText"/>
    <w:rsid w:val="00C22779"/>
    <w:pPr>
      <w:numPr>
        <w:numId w:val="2"/>
      </w:numPr>
    </w:pPr>
  </w:style>
  <w:style w:type="paragraph" w:styleId="BalloonText">
    <w:name w:val="Balloon Text"/>
    <w:basedOn w:val="Normal"/>
    <w:link w:val="BalloonTextChar"/>
    <w:rsid w:val="00C22779"/>
    <w:pPr>
      <w:spacing w:after="0"/>
    </w:pPr>
    <w:rPr>
      <w:rFonts w:ascii="Segoe UI" w:hAnsi="Segoe UI" w:cs="Segoe UI"/>
      <w:sz w:val="18"/>
      <w:szCs w:val="18"/>
    </w:rPr>
  </w:style>
  <w:style w:type="character" w:styleId="PageNumber">
    <w:name w:val="page number"/>
    <w:basedOn w:val="DefaultParagraphFont"/>
    <w:rsid w:val="00C22779"/>
  </w:style>
  <w:style w:type="paragraph" w:styleId="BodyText">
    <w:name w:val="Body Text"/>
    <w:basedOn w:val="Normal"/>
    <w:link w:val="BodyTextChar"/>
    <w:rsid w:val="00C22779"/>
    <w:pPr>
      <w:spacing w:after="120"/>
      <w:jc w:val="both"/>
    </w:pPr>
    <w:rPr>
      <w:rFonts w:ascii="Arial" w:hAnsi="Arial"/>
      <w:lang w:eastAsia="zh-CN"/>
    </w:rPr>
  </w:style>
  <w:style w:type="character" w:styleId="Hyperlink">
    <w:name w:val="Hyperlink"/>
    <w:uiPriority w:val="99"/>
    <w:rsid w:val="00C22779"/>
    <w:rPr>
      <w:color w:val="0000FF"/>
      <w:u w:val="single"/>
    </w:rPr>
  </w:style>
  <w:style w:type="character" w:styleId="FollowedHyperlink">
    <w:name w:val="FollowedHyperlink"/>
    <w:unhideWhenUsed/>
    <w:rsid w:val="00C22779"/>
    <w:rPr>
      <w:color w:val="800080"/>
      <w:u w:val="single"/>
    </w:rPr>
  </w:style>
  <w:style w:type="character" w:styleId="CommentReference">
    <w:name w:val="annotation reference"/>
    <w:uiPriority w:val="99"/>
    <w:qFormat/>
    <w:rsid w:val="00C22779"/>
    <w:rPr>
      <w:sz w:val="16"/>
      <w:szCs w:val="16"/>
    </w:rPr>
  </w:style>
  <w:style w:type="paragraph" w:styleId="CommentText">
    <w:name w:val="annotation text"/>
    <w:basedOn w:val="Normal"/>
    <w:link w:val="CommentTextChar"/>
    <w:uiPriority w:val="99"/>
    <w:qFormat/>
    <w:rsid w:val="00C22779"/>
  </w:style>
  <w:style w:type="paragraph" w:styleId="CommentSubject">
    <w:name w:val="annotation subject"/>
    <w:basedOn w:val="CommentText"/>
    <w:next w:val="CommentText"/>
    <w:link w:val="CommentSubjectChar"/>
    <w:rsid w:val="00C22779"/>
    <w:rPr>
      <w:b/>
      <w:bCs/>
    </w:rPr>
  </w:style>
  <w:style w:type="character" w:customStyle="1" w:styleId="Heading1Char">
    <w:name w:val="Heading 1 Char"/>
    <w:link w:val="Heading1"/>
    <w:rsid w:val="00C22779"/>
    <w:rPr>
      <w:rFonts w:ascii="Arial" w:hAnsi="Arial"/>
      <w:sz w:val="36"/>
      <w:lang w:eastAsia="ja-JP"/>
    </w:rPr>
  </w:style>
  <w:style w:type="paragraph" w:customStyle="1" w:styleId="B1">
    <w:name w:val="B1"/>
    <w:basedOn w:val="List"/>
    <w:link w:val="B1Char1"/>
    <w:rsid w:val="00C22779"/>
    <w:rPr>
      <w:rFonts w:ascii="Times New Roman" w:hAnsi="Times New Roman"/>
    </w:rPr>
  </w:style>
  <w:style w:type="paragraph" w:customStyle="1" w:styleId="B2">
    <w:name w:val="B2"/>
    <w:basedOn w:val="List2"/>
    <w:link w:val="B2Char"/>
    <w:rsid w:val="00C22779"/>
    <w:rPr>
      <w:rFonts w:ascii="Times New Roman" w:hAnsi="Times New Roman"/>
    </w:rPr>
  </w:style>
  <w:style w:type="paragraph" w:customStyle="1" w:styleId="B3">
    <w:name w:val="B3"/>
    <w:basedOn w:val="List3"/>
    <w:link w:val="B3Char2"/>
    <w:rsid w:val="00C22779"/>
    <w:rPr>
      <w:rFonts w:ascii="Times New Roman" w:hAnsi="Times New Roman"/>
    </w:rPr>
  </w:style>
  <w:style w:type="paragraph" w:customStyle="1" w:styleId="B4">
    <w:name w:val="B4"/>
    <w:basedOn w:val="List4"/>
    <w:link w:val="B4Char"/>
    <w:rsid w:val="00C22779"/>
    <w:rPr>
      <w:rFonts w:ascii="Times New Roman" w:hAnsi="Times New Roman"/>
    </w:rPr>
  </w:style>
  <w:style w:type="paragraph" w:customStyle="1" w:styleId="Proposal">
    <w:name w:val="Proposal"/>
    <w:basedOn w:val="BodyText"/>
    <w:rsid w:val="00C22779"/>
    <w:pPr>
      <w:numPr>
        <w:numId w:val="3"/>
      </w:numPr>
      <w:tabs>
        <w:tab w:val="clear" w:pos="1304"/>
        <w:tab w:val="left" w:pos="1701"/>
      </w:tabs>
      <w:ind w:left="1701" w:hanging="1701"/>
    </w:pPr>
    <w:rPr>
      <w:b/>
      <w:bCs/>
    </w:rPr>
  </w:style>
  <w:style w:type="character" w:customStyle="1" w:styleId="BodyTextChar">
    <w:name w:val="Body Text Char"/>
    <w:link w:val="BodyText"/>
    <w:rsid w:val="00C22779"/>
    <w:rPr>
      <w:rFonts w:ascii="Arial" w:hAnsi="Arial"/>
      <w:lang w:eastAsia="zh-CN"/>
    </w:rPr>
  </w:style>
  <w:style w:type="paragraph" w:customStyle="1" w:styleId="B5">
    <w:name w:val="B5"/>
    <w:basedOn w:val="List5"/>
    <w:link w:val="B5Char"/>
    <w:rsid w:val="00C22779"/>
    <w:rPr>
      <w:rFonts w:ascii="Times New Roman" w:hAnsi="Times New Roman"/>
    </w:rPr>
  </w:style>
  <w:style w:type="paragraph" w:customStyle="1" w:styleId="EX">
    <w:name w:val="EX"/>
    <w:basedOn w:val="Normal"/>
    <w:rsid w:val="00C22779"/>
    <w:pPr>
      <w:keepLines/>
      <w:ind w:left="1702" w:hanging="1418"/>
    </w:pPr>
  </w:style>
  <w:style w:type="paragraph" w:customStyle="1" w:styleId="EW">
    <w:name w:val="EW"/>
    <w:basedOn w:val="EX"/>
    <w:rsid w:val="00C22779"/>
    <w:pPr>
      <w:spacing w:after="0"/>
    </w:pPr>
  </w:style>
  <w:style w:type="paragraph" w:customStyle="1" w:styleId="TAL">
    <w:name w:val="TAL"/>
    <w:basedOn w:val="Normal"/>
    <w:link w:val="TALCar"/>
    <w:rsid w:val="00C22779"/>
    <w:pPr>
      <w:keepNext/>
      <w:keepLines/>
      <w:spacing w:after="0"/>
    </w:pPr>
    <w:rPr>
      <w:rFonts w:ascii="Arial" w:hAnsi="Arial"/>
      <w:sz w:val="18"/>
      <w:lang w:val="x-none" w:eastAsia="x-none"/>
    </w:rPr>
  </w:style>
  <w:style w:type="paragraph" w:customStyle="1" w:styleId="TAC">
    <w:name w:val="TAC"/>
    <w:basedOn w:val="TAL"/>
    <w:rsid w:val="00C22779"/>
    <w:pPr>
      <w:jc w:val="center"/>
    </w:pPr>
  </w:style>
  <w:style w:type="paragraph" w:customStyle="1" w:styleId="TAH">
    <w:name w:val="TAH"/>
    <w:basedOn w:val="TAC"/>
    <w:link w:val="TAHCar"/>
    <w:rsid w:val="00C22779"/>
    <w:rPr>
      <w:b/>
    </w:rPr>
  </w:style>
  <w:style w:type="paragraph" w:customStyle="1" w:styleId="TAN">
    <w:name w:val="TAN"/>
    <w:basedOn w:val="TAL"/>
    <w:rsid w:val="00C22779"/>
    <w:pPr>
      <w:ind w:left="851" w:hanging="851"/>
    </w:pPr>
  </w:style>
  <w:style w:type="paragraph" w:customStyle="1" w:styleId="TAR">
    <w:name w:val="TAR"/>
    <w:basedOn w:val="TAL"/>
    <w:rsid w:val="00C22779"/>
    <w:pPr>
      <w:jc w:val="right"/>
    </w:pPr>
  </w:style>
  <w:style w:type="paragraph" w:customStyle="1" w:styleId="TH">
    <w:name w:val="TH"/>
    <w:basedOn w:val="Normal"/>
    <w:link w:val="THChar"/>
    <w:rsid w:val="00C22779"/>
    <w:pPr>
      <w:keepNext/>
      <w:keepLines/>
      <w:spacing w:before="60"/>
      <w:jc w:val="center"/>
    </w:pPr>
    <w:rPr>
      <w:rFonts w:ascii="Arial" w:hAnsi="Arial"/>
      <w:b/>
      <w:lang w:val="x-none" w:eastAsia="x-none"/>
    </w:rPr>
  </w:style>
  <w:style w:type="paragraph" w:customStyle="1" w:styleId="TF">
    <w:name w:val="TF"/>
    <w:basedOn w:val="TH"/>
    <w:link w:val="TFChar"/>
    <w:rsid w:val="00C22779"/>
    <w:pPr>
      <w:keepNext w:val="0"/>
      <w:spacing w:before="0" w:after="240"/>
    </w:pPr>
  </w:style>
  <w:style w:type="paragraph" w:customStyle="1" w:styleId="TT">
    <w:name w:val="TT"/>
    <w:basedOn w:val="Heading1"/>
    <w:next w:val="Normal"/>
    <w:rsid w:val="00C22779"/>
    <w:pPr>
      <w:outlineLvl w:val="9"/>
    </w:pPr>
  </w:style>
  <w:style w:type="paragraph" w:customStyle="1" w:styleId="ZA">
    <w:name w:val="ZA"/>
    <w:rsid w:val="00C22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22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2277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227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22779"/>
  </w:style>
  <w:style w:type="paragraph" w:customStyle="1" w:styleId="ZH">
    <w:name w:val="ZH"/>
    <w:rsid w:val="00C2277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227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22779"/>
    <w:pPr>
      <w:framePr w:hRule="auto" w:wrap="notBeside" w:y="852"/>
    </w:pPr>
    <w:rPr>
      <w:i w:val="0"/>
      <w:sz w:val="40"/>
    </w:rPr>
  </w:style>
  <w:style w:type="paragraph" w:customStyle="1" w:styleId="ZU">
    <w:name w:val="ZU"/>
    <w:rsid w:val="00C22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22779"/>
    <w:pPr>
      <w:framePr w:wrap="notBeside" w:y="16161"/>
    </w:pPr>
  </w:style>
  <w:style w:type="paragraph" w:customStyle="1" w:styleId="FP">
    <w:name w:val="FP"/>
    <w:basedOn w:val="Normal"/>
    <w:rsid w:val="00C22779"/>
    <w:pPr>
      <w:spacing w:after="0"/>
    </w:pPr>
  </w:style>
  <w:style w:type="paragraph" w:customStyle="1" w:styleId="Observation">
    <w:name w:val="Observation"/>
    <w:basedOn w:val="Proposal"/>
    <w:qFormat/>
    <w:rsid w:val="00C22779"/>
    <w:pPr>
      <w:numPr>
        <w:numId w:val="13"/>
      </w:numPr>
      <w:ind w:left="1701" w:hanging="1701"/>
    </w:pPr>
    <w:rPr>
      <w:lang w:eastAsia="ja-JP"/>
    </w:rPr>
  </w:style>
  <w:style w:type="paragraph" w:styleId="TableofFigures">
    <w:name w:val="table of figures"/>
    <w:basedOn w:val="BodyText"/>
    <w:next w:val="Normal"/>
    <w:uiPriority w:val="99"/>
    <w:rsid w:val="00C22779"/>
    <w:pPr>
      <w:ind w:left="1701" w:hanging="1701"/>
      <w:jc w:val="left"/>
    </w:pPr>
    <w:rPr>
      <w:b/>
    </w:rPr>
  </w:style>
  <w:style w:type="character" w:customStyle="1" w:styleId="B1Char1">
    <w:name w:val="B1 Char1"/>
    <w:link w:val="B1"/>
    <w:qFormat/>
    <w:rsid w:val="00C22779"/>
    <w:rPr>
      <w:rFonts w:ascii="Times New Roman" w:hAnsi="Times New Roman"/>
      <w:lang w:eastAsia="zh-CN"/>
    </w:rPr>
  </w:style>
  <w:style w:type="character" w:customStyle="1" w:styleId="B2Char">
    <w:name w:val="B2 Char"/>
    <w:link w:val="B2"/>
    <w:qFormat/>
    <w:rsid w:val="00C22779"/>
    <w:rPr>
      <w:rFonts w:ascii="Times New Roman" w:hAnsi="Times New Roman"/>
      <w:lang w:eastAsia="ja-JP"/>
    </w:rPr>
  </w:style>
  <w:style w:type="character" w:customStyle="1" w:styleId="B3Char2">
    <w:name w:val="B3 Char2"/>
    <w:link w:val="B3"/>
    <w:qFormat/>
    <w:rsid w:val="00C22779"/>
    <w:rPr>
      <w:rFonts w:ascii="Times New Roman" w:hAnsi="Times New Roman"/>
      <w:lang w:eastAsia="ja-JP"/>
    </w:rPr>
  </w:style>
  <w:style w:type="character" w:customStyle="1" w:styleId="B4Char">
    <w:name w:val="B4 Char"/>
    <w:link w:val="B4"/>
    <w:rsid w:val="00C22779"/>
    <w:rPr>
      <w:rFonts w:ascii="Times New Roman" w:hAnsi="Times New Roman"/>
      <w:lang w:eastAsia="ja-JP"/>
    </w:rPr>
  </w:style>
  <w:style w:type="character" w:customStyle="1" w:styleId="B5Char">
    <w:name w:val="B5 Char"/>
    <w:link w:val="B5"/>
    <w:rsid w:val="00C22779"/>
    <w:rPr>
      <w:rFonts w:ascii="Times New Roman" w:hAnsi="Times New Roman"/>
      <w:lang w:eastAsia="ja-JP"/>
    </w:rPr>
  </w:style>
  <w:style w:type="paragraph" w:customStyle="1" w:styleId="B6">
    <w:name w:val="B6"/>
    <w:basedOn w:val="B5"/>
    <w:link w:val="B6Char"/>
    <w:rsid w:val="00C22779"/>
    <w:pPr>
      <w:ind w:left="1985"/>
    </w:pPr>
  </w:style>
  <w:style w:type="character" w:customStyle="1" w:styleId="B6Char">
    <w:name w:val="B6 Char"/>
    <w:link w:val="B6"/>
    <w:rsid w:val="00C22779"/>
    <w:rPr>
      <w:rFonts w:ascii="Times New Roman" w:hAnsi="Times New Roman"/>
      <w:lang w:eastAsia="ja-JP"/>
    </w:rPr>
  </w:style>
  <w:style w:type="paragraph" w:customStyle="1" w:styleId="B7">
    <w:name w:val="B7"/>
    <w:basedOn w:val="B6"/>
    <w:link w:val="B7Char"/>
    <w:rsid w:val="00C22779"/>
    <w:pPr>
      <w:ind w:left="2269"/>
    </w:pPr>
  </w:style>
  <w:style w:type="character" w:customStyle="1" w:styleId="B7Char">
    <w:name w:val="B7 Char"/>
    <w:basedOn w:val="B6Char"/>
    <w:link w:val="B7"/>
    <w:rsid w:val="00C22779"/>
    <w:rPr>
      <w:rFonts w:ascii="Times New Roman" w:hAnsi="Times New Roman"/>
      <w:lang w:eastAsia="ja-JP"/>
    </w:rPr>
  </w:style>
  <w:style w:type="paragraph" w:customStyle="1" w:styleId="B8">
    <w:name w:val="B8"/>
    <w:basedOn w:val="B7"/>
    <w:qFormat/>
    <w:rsid w:val="00C22779"/>
    <w:pPr>
      <w:ind w:left="2552"/>
    </w:pPr>
  </w:style>
  <w:style w:type="character" w:customStyle="1" w:styleId="BalloonTextChar">
    <w:name w:val="Balloon Text Char"/>
    <w:link w:val="BalloonText"/>
    <w:rsid w:val="00C22779"/>
    <w:rPr>
      <w:rFonts w:ascii="Segoe UI" w:hAnsi="Segoe UI" w:cs="Segoe UI"/>
      <w:sz w:val="18"/>
      <w:szCs w:val="18"/>
      <w:lang w:eastAsia="ja-JP"/>
    </w:rPr>
  </w:style>
  <w:style w:type="character" w:customStyle="1" w:styleId="CommentTextChar">
    <w:name w:val="Comment Text Char"/>
    <w:link w:val="CommentText"/>
    <w:uiPriority w:val="99"/>
    <w:qFormat/>
    <w:rsid w:val="00C22779"/>
    <w:rPr>
      <w:rFonts w:ascii="Times New Roman" w:hAnsi="Times New Roman"/>
      <w:lang w:eastAsia="ja-JP"/>
    </w:rPr>
  </w:style>
  <w:style w:type="character" w:customStyle="1" w:styleId="CommentSubjectChar">
    <w:name w:val="Comment Subject Char"/>
    <w:link w:val="CommentSubject"/>
    <w:rsid w:val="00C22779"/>
    <w:rPr>
      <w:rFonts w:ascii="Times New Roman" w:hAnsi="Times New Roman"/>
      <w:b/>
      <w:bCs/>
      <w:lang w:eastAsia="ja-JP"/>
    </w:rPr>
  </w:style>
  <w:style w:type="paragraph" w:customStyle="1" w:styleId="CRCoverPage">
    <w:name w:val="CR Cover Page"/>
    <w:link w:val="CRCoverPageZchn"/>
    <w:rsid w:val="00C22779"/>
    <w:pPr>
      <w:spacing w:after="120"/>
    </w:pPr>
    <w:rPr>
      <w:rFonts w:ascii="Arial" w:hAnsi="Arial"/>
      <w:lang w:eastAsia="ko-KR"/>
    </w:rPr>
  </w:style>
  <w:style w:type="character" w:customStyle="1" w:styleId="CRCoverPageZchn">
    <w:name w:val="CR Cover Page Zchn"/>
    <w:link w:val="CRCoverPage"/>
    <w:rsid w:val="00C22779"/>
    <w:rPr>
      <w:rFonts w:ascii="Arial" w:hAnsi="Arial"/>
      <w:lang w:eastAsia="ko-KR"/>
    </w:rPr>
  </w:style>
  <w:style w:type="paragraph" w:customStyle="1" w:styleId="Doc-text2">
    <w:name w:val="Doc-text2"/>
    <w:basedOn w:val="Normal"/>
    <w:link w:val="Doc-text2Char"/>
    <w:qFormat/>
    <w:rsid w:val="00C2277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2779"/>
    <w:rPr>
      <w:rFonts w:ascii="Arial" w:eastAsia="MS Mincho" w:hAnsi="Arial"/>
      <w:szCs w:val="24"/>
      <w:lang w:val="x-none" w:eastAsia="x-none"/>
    </w:rPr>
  </w:style>
  <w:style w:type="character" w:customStyle="1" w:styleId="DocumentMapChar">
    <w:name w:val="Document Map Char"/>
    <w:link w:val="DocumentMap"/>
    <w:rsid w:val="00C22779"/>
    <w:rPr>
      <w:rFonts w:ascii="Tahoma" w:hAnsi="Tahoma" w:cs="Tahoma"/>
      <w:shd w:val="clear" w:color="auto" w:fill="000080"/>
      <w:lang w:eastAsia="ja-JP"/>
    </w:rPr>
  </w:style>
  <w:style w:type="paragraph" w:customStyle="1" w:styleId="NO">
    <w:name w:val="NO"/>
    <w:basedOn w:val="Normal"/>
    <w:link w:val="NOChar"/>
    <w:rsid w:val="00C22779"/>
    <w:pPr>
      <w:keepLines/>
      <w:ind w:left="1135" w:hanging="851"/>
    </w:pPr>
  </w:style>
  <w:style w:type="character" w:customStyle="1" w:styleId="NOChar">
    <w:name w:val="NO Char"/>
    <w:link w:val="NO"/>
    <w:qFormat/>
    <w:rsid w:val="00C22779"/>
    <w:rPr>
      <w:rFonts w:ascii="Times New Roman" w:hAnsi="Times New Roman"/>
      <w:lang w:eastAsia="ja-JP"/>
    </w:rPr>
  </w:style>
  <w:style w:type="character" w:customStyle="1" w:styleId="EditorsNoteChar">
    <w:name w:val="Editor's Note Char"/>
    <w:link w:val="EditorsNote"/>
    <w:rsid w:val="00C22779"/>
    <w:rPr>
      <w:rFonts w:ascii="Times New Roman" w:hAnsi="Times New Roman"/>
      <w:color w:val="FF0000"/>
      <w:lang w:val="x-none" w:eastAsia="x-none"/>
    </w:rPr>
  </w:style>
  <w:style w:type="paragraph" w:customStyle="1" w:styleId="EmailDiscussion">
    <w:name w:val="EmailDiscussion"/>
    <w:basedOn w:val="Normal"/>
    <w:next w:val="Normal"/>
    <w:rsid w:val="00C22779"/>
    <w:pPr>
      <w:numPr>
        <w:numId w:val="14"/>
      </w:numPr>
      <w:spacing w:before="40" w:after="0"/>
    </w:pPr>
    <w:rPr>
      <w:rFonts w:ascii="Arial" w:eastAsia="MS Mincho" w:hAnsi="Arial"/>
      <w:b/>
      <w:szCs w:val="24"/>
      <w:lang w:eastAsia="en-GB"/>
    </w:rPr>
  </w:style>
  <w:style w:type="character" w:styleId="Emphasis">
    <w:name w:val="Emphasis"/>
    <w:qFormat/>
    <w:rsid w:val="00C22779"/>
    <w:rPr>
      <w:i/>
      <w:iCs/>
    </w:rPr>
  </w:style>
  <w:style w:type="paragraph" w:customStyle="1" w:styleId="FigureTitle">
    <w:name w:val="Figure_Title"/>
    <w:basedOn w:val="Normal"/>
    <w:next w:val="Normal"/>
    <w:rsid w:val="00C2277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22779"/>
    <w:rPr>
      <w:rFonts w:ascii="Arial" w:hAnsi="Arial"/>
      <w:b/>
      <w:noProof/>
      <w:sz w:val="18"/>
      <w:lang w:eastAsia="ja-JP"/>
    </w:rPr>
  </w:style>
  <w:style w:type="character" w:customStyle="1" w:styleId="FooterChar">
    <w:name w:val="Footer Char"/>
    <w:link w:val="Footer"/>
    <w:rsid w:val="00C22779"/>
    <w:rPr>
      <w:rFonts w:ascii="Arial" w:hAnsi="Arial"/>
      <w:b/>
      <w:i/>
      <w:noProof/>
      <w:sz w:val="18"/>
      <w:lang w:eastAsia="ja-JP"/>
    </w:rPr>
  </w:style>
  <w:style w:type="character" w:customStyle="1" w:styleId="FootnoteTextChar">
    <w:name w:val="Footnote Text Char"/>
    <w:link w:val="FootnoteText"/>
    <w:rsid w:val="00C22779"/>
    <w:rPr>
      <w:rFonts w:ascii="Times New Roman" w:hAnsi="Times New Roman"/>
      <w:sz w:val="16"/>
      <w:lang w:eastAsia="ja-JP"/>
    </w:rPr>
  </w:style>
  <w:style w:type="paragraph" w:customStyle="1" w:styleId="Guidance">
    <w:name w:val="Guidance"/>
    <w:basedOn w:val="Normal"/>
    <w:rsid w:val="00C22779"/>
    <w:rPr>
      <w:i/>
      <w:color w:val="0000FF"/>
    </w:rPr>
  </w:style>
  <w:style w:type="character" w:customStyle="1" w:styleId="Heading2Char">
    <w:name w:val="Heading 2 Char"/>
    <w:link w:val="Heading2"/>
    <w:rsid w:val="00C22779"/>
    <w:rPr>
      <w:rFonts w:ascii="Arial" w:hAnsi="Arial"/>
      <w:sz w:val="32"/>
      <w:lang w:eastAsia="ja-JP"/>
    </w:rPr>
  </w:style>
  <w:style w:type="character" w:customStyle="1" w:styleId="Heading3Char">
    <w:name w:val="Heading 3 Char"/>
    <w:link w:val="Heading3"/>
    <w:rsid w:val="00C22779"/>
    <w:rPr>
      <w:rFonts w:ascii="Arial" w:hAnsi="Arial"/>
      <w:sz w:val="28"/>
      <w:lang w:eastAsia="ja-JP"/>
    </w:rPr>
  </w:style>
  <w:style w:type="character" w:customStyle="1" w:styleId="Heading4Char">
    <w:name w:val="Heading 4 Char"/>
    <w:link w:val="Heading4"/>
    <w:rsid w:val="00C22779"/>
    <w:rPr>
      <w:rFonts w:ascii="Arial" w:hAnsi="Arial"/>
      <w:sz w:val="24"/>
      <w:lang w:eastAsia="ja-JP"/>
    </w:rPr>
  </w:style>
  <w:style w:type="character" w:customStyle="1" w:styleId="Heading5Char">
    <w:name w:val="Heading 5 Char"/>
    <w:link w:val="Heading5"/>
    <w:rsid w:val="00C22779"/>
    <w:rPr>
      <w:rFonts w:ascii="Arial" w:hAnsi="Arial"/>
      <w:sz w:val="22"/>
      <w:lang w:eastAsia="ja-JP"/>
    </w:rPr>
  </w:style>
  <w:style w:type="paragraph" w:customStyle="1" w:styleId="H6">
    <w:name w:val="H6"/>
    <w:basedOn w:val="Heading5"/>
    <w:next w:val="Normal"/>
    <w:rsid w:val="00C22779"/>
    <w:pPr>
      <w:ind w:left="1985" w:hanging="1985"/>
      <w:outlineLvl w:val="9"/>
    </w:pPr>
    <w:rPr>
      <w:sz w:val="20"/>
    </w:rPr>
  </w:style>
  <w:style w:type="character" w:customStyle="1" w:styleId="Heading6Char">
    <w:name w:val="Heading 6 Char"/>
    <w:link w:val="Heading6"/>
    <w:rsid w:val="00C22779"/>
    <w:rPr>
      <w:rFonts w:ascii="Arial" w:hAnsi="Arial"/>
      <w:lang w:eastAsia="ja-JP"/>
    </w:rPr>
  </w:style>
  <w:style w:type="character" w:customStyle="1" w:styleId="Heading7Char">
    <w:name w:val="Heading 7 Char"/>
    <w:link w:val="Heading7"/>
    <w:rsid w:val="00C22779"/>
    <w:rPr>
      <w:rFonts w:ascii="Arial" w:hAnsi="Arial"/>
      <w:lang w:eastAsia="ja-JP"/>
    </w:rPr>
  </w:style>
  <w:style w:type="character" w:customStyle="1" w:styleId="Heading8Char">
    <w:name w:val="Heading 8 Char"/>
    <w:link w:val="Heading8"/>
    <w:rsid w:val="00C22779"/>
    <w:rPr>
      <w:rFonts w:ascii="Arial" w:hAnsi="Arial"/>
      <w:sz w:val="36"/>
      <w:lang w:eastAsia="ja-JP"/>
    </w:rPr>
  </w:style>
  <w:style w:type="character" w:customStyle="1" w:styleId="Heading9Char">
    <w:name w:val="Heading 9 Char"/>
    <w:link w:val="Heading9"/>
    <w:rsid w:val="00C22779"/>
    <w:rPr>
      <w:rFonts w:ascii="Arial" w:hAnsi="Arial"/>
      <w:sz w:val="36"/>
      <w:lang w:eastAsia="ja-JP"/>
    </w:rPr>
  </w:style>
  <w:style w:type="character" w:styleId="HTMLCode">
    <w:name w:val="HTML Code"/>
    <w:uiPriority w:val="99"/>
    <w:unhideWhenUsed/>
    <w:rsid w:val="00C22779"/>
    <w:rPr>
      <w:rFonts w:ascii="Courier New" w:eastAsia="Times New Roman" w:hAnsi="Courier New" w:cs="Courier New"/>
      <w:sz w:val="20"/>
      <w:szCs w:val="20"/>
    </w:rPr>
  </w:style>
  <w:style w:type="paragraph" w:styleId="IndexHeading">
    <w:name w:val="index heading"/>
    <w:basedOn w:val="Normal"/>
    <w:next w:val="Normal"/>
    <w:rsid w:val="00C22779"/>
    <w:pPr>
      <w:pBdr>
        <w:top w:val="single" w:sz="12" w:space="0" w:color="auto"/>
      </w:pBdr>
      <w:spacing w:before="360" w:after="240"/>
    </w:pPr>
    <w:rPr>
      <w:b/>
      <w:i/>
      <w:sz w:val="26"/>
      <w:lang w:eastAsia="en-GB"/>
    </w:rPr>
  </w:style>
  <w:style w:type="paragraph" w:customStyle="1" w:styleId="LD">
    <w:name w:val="LD"/>
    <w:rsid w:val="00C2277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C2277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C22779"/>
    <w:rPr>
      <w:rFonts w:ascii="Calibri" w:eastAsia="Calibri" w:hAnsi="Calibri"/>
      <w:sz w:val="22"/>
      <w:szCs w:val="22"/>
      <w:lang w:val="x-none" w:eastAsia="en-US"/>
    </w:rPr>
  </w:style>
  <w:style w:type="paragraph" w:customStyle="1" w:styleId="NF">
    <w:name w:val="NF"/>
    <w:basedOn w:val="NO"/>
    <w:rsid w:val="00C22779"/>
    <w:pPr>
      <w:keepNext/>
      <w:spacing w:after="0"/>
    </w:pPr>
    <w:rPr>
      <w:rFonts w:ascii="Arial" w:hAnsi="Arial"/>
      <w:sz w:val="18"/>
    </w:rPr>
  </w:style>
  <w:style w:type="paragraph" w:customStyle="1" w:styleId="NW">
    <w:name w:val="NW"/>
    <w:basedOn w:val="NO"/>
    <w:rsid w:val="00C22779"/>
    <w:pPr>
      <w:spacing w:after="0"/>
    </w:pPr>
  </w:style>
  <w:style w:type="paragraph" w:customStyle="1" w:styleId="PL">
    <w:name w:val="PL"/>
    <w:link w:val="PLChar"/>
    <w:qFormat/>
    <w:rsid w:val="00C22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22779"/>
    <w:rPr>
      <w:rFonts w:ascii="Courier New" w:eastAsia="Batang" w:hAnsi="Courier New"/>
      <w:noProof/>
      <w:sz w:val="16"/>
      <w:shd w:val="clear" w:color="auto" w:fill="E6E6E6"/>
      <w:lang w:eastAsia="sv-SE"/>
    </w:rPr>
  </w:style>
  <w:style w:type="paragraph" w:styleId="PlainText">
    <w:name w:val="Plain Text"/>
    <w:basedOn w:val="Normal"/>
    <w:link w:val="PlainTextChar"/>
    <w:rsid w:val="00C22779"/>
    <w:rPr>
      <w:rFonts w:ascii="Courier New" w:hAnsi="Courier New"/>
      <w:lang w:val="nb-NO"/>
    </w:rPr>
  </w:style>
  <w:style w:type="character" w:customStyle="1" w:styleId="PlainTextChar">
    <w:name w:val="Plain Text Char"/>
    <w:link w:val="PlainText"/>
    <w:rsid w:val="00C22779"/>
    <w:rPr>
      <w:rFonts w:ascii="Courier New" w:hAnsi="Courier New"/>
      <w:lang w:val="nb-NO" w:eastAsia="ja-JP"/>
    </w:rPr>
  </w:style>
  <w:style w:type="character" w:styleId="Strong">
    <w:name w:val="Strong"/>
    <w:uiPriority w:val="22"/>
    <w:qFormat/>
    <w:rsid w:val="00C22779"/>
    <w:rPr>
      <w:b/>
      <w:bCs/>
    </w:rPr>
  </w:style>
  <w:style w:type="table" w:styleId="TableGrid">
    <w:name w:val="Table Grid"/>
    <w:basedOn w:val="TableNormal"/>
    <w:uiPriority w:val="39"/>
    <w:rsid w:val="00C2277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2779"/>
    <w:rPr>
      <w:rFonts w:ascii="Arial" w:hAnsi="Arial"/>
      <w:sz w:val="18"/>
      <w:lang w:val="x-none" w:eastAsia="x-none"/>
    </w:rPr>
  </w:style>
  <w:style w:type="character" w:customStyle="1" w:styleId="TAHCar">
    <w:name w:val="TAH Car"/>
    <w:link w:val="TAH"/>
    <w:locked/>
    <w:rsid w:val="00C22779"/>
    <w:rPr>
      <w:rFonts w:ascii="Arial" w:hAnsi="Arial"/>
      <w:b/>
      <w:sz w:val="18"/>
      <w:lang w:val="x-none" w:eastAsia="x-none"/>
    </w:rPr>
  </w:style>
  <w:style w:type="character" w:customStyle="1" w:styleId="THChar">
    <w:name w:val="TH Char"/>
    <w:link w:val="TH"/>
    <w:rsid w:val="00C22779"/>
    <w:rPr>
      <w:rFonts w:ascii="Arial" w:hAnsi="Arial"/>
      <w:b/>
      <w:lang w:val="x-none" w:eastAsia="x-none"/>
    </w:rPr>
  </w:style>
  <w:style w:type="paragraph" w:customStyle="1" w:styleId="TAJ">
    <w:name w:val="TAJ"/>
    <w:basedOn w:val="TH"/>
    <w:rsid w:val="00C22779"/>
  </w:style>
  <w:style w:type="paragraph" w:customStyle="1" w:styleId="TALCharChar">
    <w:name w:val="TAL Char Char"/>
    <w:basedOn w:val="Normal"/>
    <w:link w:val="TALCharCharChar"/>
    <w:rsid w:val="00C2277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2779"/>
    <w:rPr>
      <w:rFonts w:ascii="Arial" w:eastAsia="Malgun Gothic" w:hAnsi="Arial"/>
      <w:sz w:val="18"/>
      <w:lang w:val="x-none" w:eastAsia="x-none"/>
    </w:rPr>
  </w:style>
  <w:style w:type="character" w:customStyle="1" w:styleId="TFChar">
    <w:name w:val="TF Char"/>
    <w:link w:val="TF"/>
    <w:rsid w:val="00C22779"/>
    <w:rPr>
      <w:rFonts w:ascii="Arial" w:hAnsi="Arial"/>
      <w:b/>
      <w:lang w:val="x-none" w:eastAsia="x-none"/>
    </w:rPr>
  </w:style>
  <w:style w:type="paragraph" w:styleId="ListContinue">
    <w:name w:val="List Continue"/>
    <w:basedOn w:val="Normal"/>
    <w:rsid w:val="00C22779"/>
    <w:pPr>
      <w:spacing w:after="120"/>
      <w:ind w:left="283"/>
      <w:contextualSpacing/>
    </w:pPr>
    <w:rPr>
      <w:rFonts w:ascii="Arial" w:hAnsi="Arial"/>
    </w:rPr>
  </w:style>
  <w:style w:type="paragraph" w:styleId="ListContinue2">
    <w:name w:val="List Continue 2"/>
    <w:basedOn w:val="Normal"/>
    <w:rsid w:val="00C22779"/>
    <w:pPr>
      <w:spacing w:after="120"/>
      <w:ind w:left="566"/>
      <w:contextualSpacing/>
    </w:pPr>
    <w:rPr>
      <w:rFonts w:ascii="Arial" w:hAnsi="Arial"/>
    </w:rPr>
  </w:style>
  <w:style w:type="paragraph" w:styleId="ListNumber3">
    <w:name w:val="List Number 3"/>
    <w:basedOn w:val="ListNumber2"/>
    <w:rsid w:val="00C2277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C804F-B9F0-4A22-A1AB-2CD1DAE5C327}">
  <ds:schemaRefs>
    <ds:schemaRef ds:uri="http://schemas.microsoft.com/sharepoint/v3/contenttype/forms"/>
  </ds:schemaRefs>
</ds:datastoreItem>
</file>

<file path=customXml/itemProps2.xml><?xml version="1.0" encoding="utf-8"?>
<ds:datastoreItem xmlns:ds="http://schemas.openxmlformats.org/officeDocument/2006/customXml" ds:itemID="{054AE021-9A3B-46A9-A102-156C5C50A2B6}">
  <ds:schemaRef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D8409B72-0F93-4272-9714-0F72B7E44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0912B-8FA4-41CB-9ACF-32C453756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31</TotalTime>
  <Pages>6</Pages>
  <Words>2032</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24</cp:revision>
  <cp:lastPrinted>2008-01-31T07:09:00Z</cp:lastPrinted>
  <dcterms:created xsi:type="dcterms:W3CDTF">2019-03-25T13:08:00Z</dcterms:created>
  <dcterms:modified xsi:type="dcterms:W3CDTF">2019-03-29T19:20:00Z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0">
    <vt:lpwstr>27</vt:lpwstr>
  </property>
  <property fmtid="{D5CDD505-2E9C-101B-9397-08002B2CF9AE}" pid="5" name="AuthorIds_UIVersion_11">
    <vt:lpwstr>27</vt:lpwstr>
  </property>
  <property fmtid="{D5CDD505-2E9C-101B-9397-08002B2CF9AE}" pid="6" name="AuthorIds_UIVersion_13">
    <vt:lpwstr>27</vt:lpwstr>
  </property>
</Properties>
</file>